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477520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443230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(Mark One)</w:t>
      </w:r>
    </w:p>
    <w:p>
      <w:pPr>
        <w:spacing w:after="0" w:line="109" w:lineRule="exact"/>
        <w:rPr>
          <w:sz w:val="24"/>
          <w:szCs w:val="24"/>
          <w:color w:val="auto"/>
        </w:rPr>
      </w:pPr>
    </w:p>
    <w:p>
      <w:pPr>
        <w:ind w:left="3180" w:hanging="193"/>
        <w:spacing w:after="0"/>
        <w:tabs>
          <w:tab w:leader="none" w:pos="318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6"/>
          <w:szCs w:val="16"/>
          <w:color w:val="auto"/>
        </w:rPr>
      </w:pPr>
    </w:p>
    <w:p>
      <w:pPr>
        <w:ind w:left="36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OF THE SECURITIES EXCHANGE ACT OF 1934</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3180" w:hanging="200"/>
        <w:spacing w:after="0"/>
        <w:tabs>
          <w:tab w:leader="none" w:pos="318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6"/>
          <w:szCs w:val="16"/>
          <w:color w:val="auto"/>
        </w:rPr>
      </w:pPr>
    </w:p>
    <w:p>
      <w:pPr>
        <w:ind w:left="36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1-32740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ENERGY TRANSFER LP</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3280" w:type="dxa"/>
            <w:vAlign w:val="bottom"/>
          </w:tcPr>
          <w:p>
            <w:pPr>
              <w:jc w:val="center"/>
              <w:ind w:left="2005"/>
              <w:spacing w:after="0"/>
              <w:rPr>
                <w:sz w:val="20"/>
                <w:szCs w:val="20"/>
                <w:color w:val="auto"/>
              </w:rPr>
            </w:pPr>
            <w:r>
              <w:rPr>
                <w:rFonts w:ascii="Arial" w:cs="Arial" w:eastAsia="Arial" w:hAnsi="Arial"/>
                <w:sz w:val="18"/>
                <w:szCs w:val="18"/>
                <w:b w:val="1"/>
                <w:bCs w:val="1"/>
                <w:color w:val="auto"/>
                <w:w w:val="91"/>
              </w:rPr>
              <w:t>Delaware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00" w:type="dxa"/>
            <w:vAlign w:val="bottom"/>
          </w:tcPr>
          <w:p>
            <w:pPr>
              <w:jc w:val="right"/>
              <w:ind w:right="2184"/>
              <w:spacing w:after="0"/>
              <w:rPr>
                <w:sz w:val="20"/>
                <w:szCs w:val="20"/>
                <w:color w:val="auto"/>
              </w:rPr>
            </w:pPr>
            <w:r>
              <w:rPr>
                <w:rFonts w:ascii="Arial" w:cs="Arial" w:eastAsia="Arial" w:hAnsi="Arial"/>
                <w:sz w:val="18"/>
                <w:szCs w:val="18"/>
                <w:b w:val="1"/>
                <w:bCs w:val="1"/>
                <w:color w:val="auto"/>
              </w:rPr>
              <w:t>30-0108820</w:t>
            </w:r>
          </w:p>
        </w:tc>
        <w:tc>
          <w:tcPr>
            <w:tcW w:w="0" w:type="dxa"/>
            <w:vAlign w:val="bottom"/>
          </w:tcPr>
          <w:p>
            <w:pPr>
              <w:spacing w:after="0"/>
              <w:rPr>
                <w:sz w:val="1"/>
                <w:szCs w:val="1"/>
                <w:color w:val="auto"/>
              </w:rPr>
            </w:pPr>
          </w:p>
        </w:tc>
      </w:tr>
      <w:tr>
        <w:trPr>
          <w:trHeight w:val="182"/>
        </w:trPr>
        <w:tc>
          <w:tcPr>
            <w:tcW w:w="7300" w:type="dxa"/>
            <w:vAlign w:val="bottom"/>
            <w:gridSpan w:val="6"/>
          </w:tcPr>
          <w:p>
            <w:pPr>
              <w:jc w:val="center"/>
              <w:ind w:right="194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00" w:type="dxa"/>
            <w:vAlign w:val="bottom"/>
          </w:tcPr>
          <w:p>
            <w:pPr>
              <w:jc w:val="center"/>
              <w:ind w:right="1424"/>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425"/>
        </w:trPr>
        <w:tc>
          <w:tcPr>
            <w:tcW w:w="3280" w:type="dxa"/>
            <w:vAlign w:val="bottom"/>
          </w:tcPr>
          <w:p>
            <w:pPr>
              <w:spacing w:after="0"/>
              <w:rPr>
                <w:sz w:val="24"/>
                <w:szCs w:val="24"/>
                <w:color w:val="auto"/>
              </w:rPr>
            </w:pPr>
          </w:p>
        </w:tc>
        <w:tc>
          <w:tcPr>
            <w:tcW w:w="7920" w:type="dxa"/>
            <w:vAlign w:val="bottom"/>
            <w:gridSpan w:val="6"/>
          </w:tcPr>
          <w:p>
            <w:pPr>
              <w:jc w:val="center"/>
              <w:ind w:right="3204"/>
              <w:spacing w:after="0"/>
              <w:rPr>
                <w:sz w:val="20"/>
                <w:szCs w:val="20"/>
                <w:color w:val="auto"/>
              </w:rPr>
            </w:pPr>
            <w:r>
              <w:rPr>
                <w:rFonts w:ascii="Arial" w:cs="Arial" w:eastAsia="Arial" w:hAnsi="Arial"/>
                <w:sz w:val="18"/>
                <w:szCs w:val="18"/>
                <w:b w:val="1"/>
                <w:bCs w:val="1"/>
                <w:color w:val="auto"/>
                <w:w w:val="88"/>
              </w:rPr>
              <w:t>8111 Westchester Drive, Suite 600, Dallas, Texas 75225</w:t>
            </w: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4020" w:type="dxa"/>
            <w:vAlign w:val="bottom"/>
            <w:gridSpan w:val="5"/>
          </w:tcPr>
          <w:p>
            <w:pPr>
              <w:jc w:val="center"/>
              <w:ind w:left="559"/>
              <w:spacing w:after="0"/>
              <w:rPr>
                <w:sz w:val="20"/>
                <w:szCs w:val="20"/>
                <w:color w:val="auto"/>
              </w:rPr>
            </w:pPr>
            <w:r>
              <w:rPr>
                <w:rFonts w:ascii="Arial" w:cs="Arial" w:eastAsia="Arial" w:hAnsi="Arial"/>
                <w:sz w:val="14"/>
                <w:szCs w:val="14"/>
                <w:color w:val="auto"/>
                <w:w w:val="95"/>
              </w:rPr>
              <w:t>(Address of principal executive offices) (zip code)</w:t>
            </w:r>
          </w:p>
        </w:tc>
        <w:tc>
          <w:tcPr>
            <w:tcW w:w="3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tcPr>
          <w:p>
            <w:pPr>
              <w:spacing w:after="0"/>
              <w:rPr>
                <w:sz w:val="24"/>
                <w:szCs w:val="24"/>
                <w:color w:val="auto"/>
              </w:rPr>
            </w:pPr>
          </w:p>
        </w:tc>
        <w:tc>
          <w:tcPr>
            <w:tcW w:w="3460" w:type="dxa"/>
            <w:vAlign w:val="bottom"/>
            <w:gridSpan w:val="3"/>
          </w:tcPr>
          <w:p>
            <w:pPr>
              <w:jc w:val="center"/>
              <w:ind w:left="1099"/>
              <w:spacing w:after="0"/>
              <w:rPr>
                <w:sz w:val="20"/>
                <w:szCs w:val="20"/>
                <w:color w:val="auto"/>
              </w:rPr>
            </w:pPr>
            <w:r>
              <w:rPr>
                <w:rFonts w:ascii="Arial" w:cs="Arial" w:eastAsia="Arial" w:hAnsi="Arial"/>
                <w:sz w:val="18"/>
                <w:szCs w:val="18"/>
                <w:b w:val="1"/>
                <w:bCs w:val="1"/>
                <w:color w:val="auto"/>
                <w:w w:val="90"/>
              </w:rPr>
              <w:t>(214) 981-0700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4020" w:type="dxa"/>
            <w:vAlign w:val="bottom"/>
            <w:gridSpan w:val="5"/>
          </w:tcPr>
          <w:p>
            <w:pPr>
              <w:jc w:val="center"/>
              <w:ind w:left="539"/>
              <w:spacing w:after="0"/>
              <w:rPr>
                <w:sz w:val="20"/>
                <w:szCs w:val="20"/>
                <w:color w:val="auto"/>
              </w:rPr>
            </w:pPr>
            <w:r>
              <w:rPr>
                <w:rFonts w:ascii="Arial" w:cs="Arial" w:eastAsia="Arial" w:hAnsi="Arial"/>
                <w:sz w:val="14"/>
                <w:szCs w:val="14"/>
                <w:color w:val="auto"/>
                <w:w w:val="92"/>
              </w:rPr>
              <w:t>(Registrant’s telephone number, including area code)</w:t>
            </w:r>
          </w:p>
        </w:tc>
        <w:tc>
          <w:tcPr>
            <w:tcW w:w="3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3280" w:type="dxa"/>
            <w:vAlign w:val="bottom"/>
          </w:tcPr>
          <w:p>
            <w:pPr>
              <w:spacing w:after="0"/>
              <w:rPr>
                <w:sz w:val="24"/>
                <w:szCs w:val="24"/>
                <w:color w:val="auto"/>
              </w:rPr>
            </w:pPr>
          </w:p>
        </w:tc>
        <w:tc>
          <w:tcPr>
            <w:tcW w:w="7920" w:type="dxa"/>
            <w:vAlign w:val="bottom"/>
            <w:gridSpan w:val="6"/>
          </w:tcPr>
          <w:p>
            <w:pPr>
              <w:jc w:val="center"/>
              <w:ind w:right="3184"/>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0" w:type="dxa"/>
            <w:vAlign w:val="bottom"/>
          </w:tcPr>
          <w:p>
            <w:pPr>
              <w:spacing w:after="0"/>
              <w:rPr>
                <w:sz w:val="1"/>
                <w:szCs w:val="1"/>
                <w:color w:val="auto"/>
              </w:rPr>
            </w:pPr>
          </w:p>
        </w:tc>
      </w:tr>
      <w:tr>
        <w:trPr>
          <w:trHeight w:val="314"/>
        </w:trPr>
        <w:tc>
          <w:tcPr>
            <w:tcW w:w="3280" w:type="dxa"/>
            <w:vAlign w:val="bottom"/>
          </w:tcPr>
          <w:p>
            <w:pPr>
              <w:jc w:val="center"/>
              <w:ind w:left="1005"/>
              <w:spacing w:after="0"/>
              <w:rPr>
                <w:sz w:val="20"/>
                <w:szCs w:val="20"/>
                <w:color w:val="auto"/>
              </w:rPr>
            </w:pPr>
            <w:r>
              <w:rPr>
                <w:rFonts w:ascii="Arial" w:cs="Arial" w:eastAsia="Arial" w:hAnsi="Arial"/>
                <w:sz w:val="16"/>
                <w:szCs w:val="16"/>
                <w:color w:val="auto"/>
                <w:w w:val="90"/>
              </w:rPr>
              <w:t>Title of each class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580"/>
              <w:spacing w:after="0"/>
              <w:rPr>
                <w:sz w:val="20"/>
                <w:szCs w:val="20"/>
                <w:color w:val="auto"/>
              </w:rPr>
            </w:pPr>
            <w:r>
              <w:rPr>
                <w:rFonts w:ascii="Arial" w:cs="Arial" w:eastAsia="Arial" w:hAnsi="Arial"/>
                <w:sz w:val="16"/>
                <w:szCs w:val="16"/>
                <w:color w:val="auto"/>
                <w:w w:val="93"/>
              </w:rPr>
              <w:t>Trading Symbol(s)</w:t>
            </w:r>
          </w:p>
        </w:tc>
        <w:tc>
          <w:tcPr>
            <w:tcW w:w="3900" w:type="dxa"/>
            <w:vAlign w:val="bottom"/>
          </w:tcPr>
          <w:p>
            <w:pPr>
              <w:jc w:val="center"/>
              <w:ind w:right="364"/>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176"/>
        </w:trPr>
        <w:tc>
          <w:tcPr>
            <w:tcW w:w="3280" w:type="dxa"/>
            <w:vAlign w:val="bottom"/>
            <w:tcBorders>
              <w:top w:val="single" w:sz="8" w:color="auto"/>
            </w:tcBorders>
          </w:tcPr>
          <w:p>
            <w:pPr>
              <w:jc w:val="center"/>
              <w:ind w:left="985"/>
              <w:spacing w:after="0"/>
              <w:rPr>
                <w:sz w:val="20"/>
                <w:szCs w:val="20"/>
                <w:color w:val="auto"/>
              </w:rPr>
            </w:pPr>
            <w:r>
              <w:rPr>
                <w:rFonts w:ascii="Arial" w:cs="Arial" w:eastAsia="Arial" w:hAnsi="Arial"/>
                <w:sz w:val="14"/>
                <w:szCs w:val="14"/>
                <w:b w:val="1"/>
                <w:bCs w:val="1"/>
                <w:color w:val="auto"/>
                <w:w w:val="94"/>
              </w:rPr>
              <w:t>Common Units</w:t>
            </w: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ET</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900" w:type="dxa"/>
            <w:vAlign w:val="bottom"/>
            <w:tcBorders>
              <w:top w:val="single" w:sz="8" w:color="auto"/>
            </w:tcBorders>
          </w:tcPr>
          <w:p>
            <w:pPr>
              <w:jc w:val="center"/>
              <w:ind w:right="364"/>
              <w:spacing w:after="0"/>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r>
        <w:trPr>
          <w:trHeight w:val="144"/>
        </w:trPr>
        <w:tc>
          <w:tcPr>
            <w:tcW w:w="7300" w:type="dxa"/>
            <w:vAlign w:val="bottom"/>
            <w:gridSpan w:val="6"/>
          </w:tcPr>
          <w:p>
            <w:pPr>
              <w:jc w:val="center"/>
              <w:ind w:right="2960"/>
              <w:spacing w:after="0" w:line="145" w:lineRule="exact"/>
              <w:rPr>
                <w:sz w:val="20"/>
                <w:szCs w:val="20"/>
                <w:color w:val="auto"/>
              </w:rPr>
            </w:pPr>
            <w:r>
              <w:rPr>
                <w:rFonts w:ascii="Arial" w:cs="Arial" w:eastAsia="Arial" w:hAnsi="Arial"/>
                <w:sz w:val="14"/>
                <w:szCs w:val="14"/>
                <w:b w:val="1"/>
                <w:bCs w:val="1"/>
                <w:color w:val="auto"/>
                <w:w w:val="93"/>
              </w:rPr>
              <w:t>7.375% Series C Fixed-to-Floating Rate Cumulative Redeemable</w:t>
            </w:r>
          </w:p>
        </w:tc>
        <w:tc>
          <w:tcPr>
            <w:tcW w:w="3900" w:type="dxa"/>
            <w:vAlign w:val="bottom"/>
            <w:vMerge w:val="restart"/>
          </w:tcPr>
          <w:p>
            <w:pPr>
              <w:jc w:val="center"/>
              <w:ind w:right="364"/>
              <w:spacing w:after="0"/>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r>
        <w:trPr>
          <w:trHeight w:val="180"/>
        </w:trPr>
        <w:tc>
          <w:tcPr>
            <w:tcW w:w="3280" w:type="dxa"/>
            <w:vAlign w:val="bottom"/>
          </w:tcPr>
          <w:p>
            <w:pPr>
              <w:jc w:val="center"/>
              <w:ind w:left="1005"/>
              <w:spacing w:after="0"/>
              <w:rPr>
                <w:sz w:val="20"/>
                <w:szCs w:val="20"/>
                <w:color w:val="auto"/>
              </w:rPr>
            </w:pPr>
            <w:r>
              <w:rPr>
                <w:rFonts w:ascii="Arial" w:cs="Arial" w:eastAsia="Arial" w:hAnsi="Arial"/>
                <w:sz w:val="14"/>
                <w:szCs w:val="14"/>
                <w:b w:val="1"/>
                <w:bCs w:val="1"/>
                <w:color w:val="auto"/>
                <w:w w:val="94"/>
              </w:rPr>
              <w:t>Perpetual Preferred Units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ETprC</w:t>
            </w:r>
          </w:p>
        </w:tc>
        <w:tc>
          <w:tcPr>
            <w:tcW w:w="3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300" w:type="dxa"/>
            <w:vAlign w:val="bottom"/>
            <w:gridSpan w:val="6"/>
          </w:tcPr>
          <w:p>
            <w:pPr>
              <w:jc w:val="center"/>
              <w:ind w:right="2960"/>
              <w:spacing w:after="0" w:line="145" w:lineRule="exact"/>
              <w:rPr>
                <w:sz w:val="20"/>
                <w:szCs w:val="20"/>
                <w:color w:val="auto"/>
              </w:rPr>
            </w:pPr>
            <w:r>
              <w:rPr>
                <w:rFonts w:ascii="Arial" w:cs="Arial" w:eastAsia="Arial" w:hAnsi="Arial"/>
                <w:sz w:val="14"/>
                <w:szCs w:val="14"/>
                <w:b w:val="1"/>
                <w:bCs w:val="1"/>
                <w:color w:val="auto"/>
                <w:w w:val="93"/>
              </w:rPr>
              <w:t>7.625% Series D Fixed-to-Floating Rate Cumulative Redeemable</w:t>
            </w:r>
          </w:p>
        </w:tc>
        <w:tc>
          <w:tcPr>
            <w:tcW w:w="3900" w:type="dxa"/>
            <w:vAlign w:val="bottom"/>
            <w:vMerge w:val="restart"/>
          </w:tcPr>
          <w:p>
            <w:pPr>
              <w:jc w:val="center"/>
              <w:ind w:right="364"/>
              <w:spacing w:after="0"/>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r>
        <w:trPr>
          <w:trHeight w:val="180"/>
        </w:trPr>
        <w:tc>
          <w:tcPr>
            <w:tcW w:w="3280" w:type="dxa"/>
            <w:vAlign w:val="bottom"/>
          </w:tcPr>
          <w:p>
            <w:pPr>
              <w:jc w:val="center"/>
              <w:ind w:left="1005"/>
              <w:spacing w:after="0"/>
              <w:rPr>
                <w:sz w:val="20"/>
                <w:szCs w:val="20"/>
                <w:color w:val="auto"/>
              </w:rPr>
            </w:pPr>
            <w:r>
              <w:rPr>
                <w:rFonts w:ascii="Arial" w:cs="Arial" w:eastAsia="Arial" w:hAnsi="Arial"/>
                <w:sz w:val="14"/>
                <w:szCs w:val="14"/>
                <w:b w:val="1"/>
                <w:bCs w:val="1"/>
                <w:color w:val="auto"/>
                <w:w w:val="94"/>
              </w:rPr>
              <w:t>Perpetual Preferred Units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ETprD</w:t>
            </w:r>
          </w:p>
        </w:tc>
        <w:tc>
          <w:tcPr>
            <w:tcW w:w="3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300" w:type="dxa"/>
            <w:vAlign w:val="bottom"/>
            <w:gridSpan w:val="6"/>
          </w:tcPr>
          <w:p>
            <w:pPr>
              <w:jc w:val="center"/>
              <w:ind w:right="2960"/>
              <w:spacing w:after="0" w:line="145" w:lineRule="exact"/>
              <w:rPr>
                <w:sz w:val="20"/>
                <w:szCs w:val="20"/>
                <w:color w:val="auto"/>
              </w:rPr>
            </w:pPr>
            <w:r>
              <w:rPr>
                <w:rFonts w:ascii="Arial" w:cs="Arial" w:eastAsia="Arial" w:hAnsi="Arial"/>
                <w:sz w:val="14"/>
                <w:szCs w:val="14"/>
                <w:b w:val="1"/>
                <w:bCs w:val="1"/>
                <w:color w:val="auto"/>
                <w:w w:val="93"/>
              </w:rPr>
              <w:t>7.600% Series E Fixed-to-Floating Rate Cumulative Redeemable</w:t>
            </w:r>
          </w:p>
        </w:tc>
        <w:tc>
          <w:tcPr>
            <w:tcW w:w="3900" w:type="dxa"/>
            <w:vAlign w:val="bottom"/>
            <w:vMerge w:val="restart"/>
          </w:tcPr>
          <w:p>
            <w:pPr>
              <w:jc w:val="center"/>
              <w:ind w:right="364"/>
              <w:spacing w:after="0"/>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r>
        <w:trPr>
          <w:trHeight w:val="186"/>
        </w:trPr>
        <w:tc>
          <w:tcPr>
            <w:tcW w:w="3280" w:type="dxa"/>
            <w:vAlign w:val="bottom"/>
          </w:tcPr>
          <w:p>
            <w:pPr>
              <w:jc w:val="center"/>
              <w:ind w:left="1005"/>
              <w:spacing w:after="0"/>
              <w:rPr>
                <w:sz w:val="20"/>
                <w:szCs w:val="20"/>
                <w:color w:val="auto"/>
              </w:rPr>
            </w:pPr>
            <w:r>
              <w:rPr>
                <w:rFonts w:ascii="Arial" w:cs="Arial" w:eastAsia="Arial" w:hAnsi="Arial"/>
                <w:sz w:val="14"/>
                <w:szCs w:val="14"/>
                <w:b w:val="1"/>
                <w:bCs w:val="1"/>
                <w:color w:val="auto"/>
                <w:w w:val="94"/>
              </w:rPr>
              <w:t>Perpetual Preferred Units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ETprE</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2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2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140" w:type="dxa"/>
            <w:vAlign w:val="bottom"/>
          </w:tcPr>
          <w:p>
            <w:pPr>
              <w:ind w:left="292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262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At April 30, 2021, the registrant had 2,703,496,243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20" w:type="dxa"/>
            <w:vAlign w:val="bottom"/>
            <w:gridSpan w:val="25"/>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49"/>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FORM 10-Q</w:t>
            </w:r>
          </w:p>
        </w:tc>
        <w:tc>
          <w:tcPr>
            <w:tcW w:w="490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20" w:type="dxa"/>
            <w:vAlign w:val="bottom"/>
            <w:gridSpan w:val="11"/>
          </w:tcPr>
          <w:p>
            <w:pPr>
              <w:jc w:val="center"/>
              <w:ind w:right="3280"/>
              <w:spacing w:after="0"/>
              <w:rPr>
                <w:sz w:val="20"/>
                <w:szCs w:val="20"/>
                <w:color w:val="auto"/>
              </w:rPr>
            </w:pPr>
            <w:r>
              <w:rPr>
                <w:rFonts w:ascii="Arial" w:cs="Arial" w:eastAsia="Arial" w:hAnsi="Arial"/>
                <w:sz w:val="18"/>
                <w:szCs w:val="18"/>
                <w:b w:val="1"/>
                <w:bCs w:val="1"/>
                <w:color w:val="auto"/>
                <w:w w:val="98"/>
              </w:rPr>
              <w:t>ENERGY TRANSFER LP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gridSpan w:val="5"/>
          </w:tcPr>
          <w:p>
            <w:pPr>
              <w:jc w:val="center"/>
              <w:ind w:right="940"/>
              <w:spacing w:after="0"/>
              <w:rPr>
                <w:sz w:val="20"/>
                <w:szCs w:val="20"/>
                <w:color w:val="auto"/>
              </w:rPr>
            </w:pPr>
            <w:r>
              <w:rPr>
                <w:rFonts w:ascii="Arial" w:cs="Arial" w:eastAsia="Arial" w:hAnsi="Arial"/>
                <w:sz w:val="18"/>
                <w:szCs w:val="18"/>
                <w:b w:val="1"/>
                <w:bCs w:val="1"/>
                <w:color w:val="auto"/>
                <w:w w:val="98"/>
              </w:rPr>
              <w:t>TABLE OF CONTENTS</w:t>
            </w:r>
          </w:p>
        </w:tc>
        <w:tc>
          <w:tcPr>
            <w:tcW w:w="35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3260" w:type="dxa"/>
            <w:vAlign w:val="bottom"/>
            <w:tcBorders>
              <w:bottom w:val="single" w:sz="8" w:color="0000FF"/>
            </w:tcBorders>
            <w:gridSpan w:val="12"/>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1380" w:type="dxa"/>
            <w:vAlign w:val="bottom"/>
            <w:gridSpan w:val="5"/>
          </w:tcPr>
          <w:p>
            <w:pPr>
              <w:spacing w:after="0"/>
              <w:rPr>
                <w:sz w:val="24"/>
                <w:szCs w:val="24"/>
                <w:color w:val="auto"/>
              </w:rPr>
            </w:pPr>
          </w:p>
        </w:tc>
        <w:tc>
          <w:tcPr>
            <w:tcW w:w="1920" w:type="dxa"/>
            <w:vAlign w:val="bottom"/>
            <w:tcBorders>
              <w:top w:val="single" w:sz="8" w:color="auto"/>
            </w:tcBorders>
            <w:gridSpan w:val="3"/>
          </w:tcPr>
          <w:p>
            <w:pPr>
              <w:spacing w:after="0"/>
              <w:rPr>
                <w:sz w:val="24"/>
                <w:szCs w:val="24"/>
                <w:color w:val="auto"/>
              </w:rPr>
            </w:pPr>
          </w:p>
        </w:tc>
        <w:tc>
          <w:tcPr>
            <w:tcW w:w="444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3740" w:type="dxa"/>
            <w:vAlign w:val="bottom"/>
            <w:tcBorders>
              <w:bottom w:val="single" w:sz="8" w:color="0000FF"/>
            </w:tcBorders>
            <w:gridSpan w:val="15"/>
          </w:tcPr>
          <w:p>
            <w:pPr>
              <w:spacing w:after="0"/>
              <w:rPr>
                <w:rFonts w:ascii="Arial" w:cs="Arial" w:eastAsia="Arial" w:hAnsi="Arial"/>
                <w:sz w:val="18"/>
                <w:szCs w:val="18"/>
                <w:color w:val="0000FF"/>
                <w:w w:val="96"/>
              </w:rPr>
            </w:pPr>
            <w:hyperlink w:anchor="page5">
              <w:r>
                <w:rPr>
                  <w:rFonts w:ascii="Arial" w:cs="Arial" w:eastAsia="Arial" w:hAnsi="Arial"/>
                  <w:sz w:val="18"/>
                  <w:szCs w:val="18"/>
                  <w:color w:val="0000FF"/>
                  <w:w w:val="96"/>
                </w:rPr>
                <w:t>ITEM 1. FINANCIAL STATEMENTS (Unaudited)</w:t>
              </w:r>
            </w:hyperlink>
          </w:p>
        </w:tc>
        <w:tc>
          <w:tcPr>
            <w:tcW w:w="7260" w:type="dxa"/>
            <w:vAlign w:val="bottom"/>
            <w:gridSpan w:val="9"/>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00" w:type="dxa"/>
            <w:vAlign w:val="bottom"/>
            <w:tcBorders>
              <w:bottom w:val="single" w:sz="8" w:color="0000FF"/>
            </w:tcBorders>
            <w:gridSpan w:val="5"/>
          </w:tcPr>
          <w:p>
            <w:pPr>
              <w:ind w:left="20"/>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Consolidated Balance Sheets</w:t>
              </w:r>
            </w:hyperlink>
          </w:p>
        </w:tc>
        <w:tc>
          <w:tcPr>
            <w:tcW w:w="8580" w:type="dxa"/>
            <w:vAlign w:val="bottom"/>
            <w:gridSpan w:val="18"/>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80" w:type="dxa"/>
            <w:vAlign w:val="bottom"/>
            <w:gridSpan w:val="23"/>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60" w:type="dxa"/>
            <w:vAlign w:val="bottom"/>
            <w:tcBorders>
              <w:bottom w:val="single" w:sz="8" w:color="0000FF"/>
            </w:tcBorders>
            <w:gridSpan w:val="15"/>
          </w:tcPr>
          <w:p>
            <w:pPr>
              <w:ind w:left="20"/>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Consolidated Statements of Comprehensive Income (Loss)</w:t>
              </w:r>
            </w:hyperlink>
          </w:p>
        </w:tc>
        <w:tc>
          <w:tcPr>
            <w:tcW w:w="6420" w:type="dxa"/>
            <w:vAlign w:val="bottom"/>
            <w:gridSpan w:val="8"/>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4</w:t>
              </w:r>
            </w:hyperlink>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520" w:type="dxa"/>
            <w:vAlign w:val="bottom"/>
            <w:tcBorders>
              <w:bottom w:val="single" w:sz="8" w:color="0000FF"/>
            </w:tcBorders>
            <w:gridSpan w:val="7"/>
          </w:tcPr>
          <w:p>
            <w:pPr>
              <w:ind w:left="20"/>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Consolidated Statements of Equity</w:t>
              </w:r>
            </w:hyperlink>
          </w:p>
        </w:tc>
        <w:tc>
          <w:tcPr>
            <w:tcW w:w="8160" w:type="dxa"/>
            <w:vAlign w:val="bottom"/>
            <w:gridSpan w:val="16"/>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5</w:t>
              </w:r>
            </w:hyperlink>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80" w:type="dxa"/>
            <w:vAlign w:val="bottom"/>
            <w:tcBorders>
              <w:bottom w:val="single" w:sz="8" w:color="0000FF"/>
            </w:tcBorders>
            <w:gridSpan w:val="10"/>
          </w:tcPr>
          <w:p>
            <w:pPr>
              <w:ind w:left="20"/>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Consolidated Statements of Cash Flows</w:t>
              </w:r>
            </w:hyperlink>
          </w:p>
        </w:tc>
        <w:tc>
          <w:tcPr>
            <w:tcW w:w="7800" w:type="dxa"/>
            <w:vAlign w:val="bottom"/>
            <w:gridSpan w:val="13"/>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160" w:type="dxa"/>
            <w:vAlign w:val="bottom"/>
            <w:tcBorders>
              <w:bottom w:val="single" w:sz="8" w:color="0000FF"/>
            </w:tcBorders>
            <w:gridSpan w:val="12"/>
          </w:tcPr>
          <w:p>
            <w:pPr>
              <w:ind w:left="20"/>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Notes to Consolidated Financial Statements</w:t>
              </w:r>
            </w:hyperlink>
          </w:p>
        </w:tc>
        <w:tc>
          <w:tcPr>
            <w:tcW w:w="7520" w:type="dxa"/>
            <w:vAlign w:val="bottom"/>
            <w:gridSpan w:val="11"/>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r>
      <w:tr>
        <w:trPr>
          <w:trHeight w:val="263"/>
        </w:trPr>
        <w:tc>
          <w:tcPr>
            <w:tcW w:w="20" w:type="dxa"/>
            <w:vAlign w:val="bottom"/>
          </w:tcPr>
          <w:p>
            <w:pPr>
              <w:spacing w:after="0"/>
              <w:rPr>
                <w:sz w:val="22"/>
                <w:szCs w:val="22"/>
                <w:color w:val="auto"/>
              </w:rPr>
            </w:pPr>
          </w:p>
        </w:tc>
        <w:tc>
          <w:tcPr>
            <w:tcW w:w="11000" w:type="dxa"/>
            <w:vAlign w:val="bottom"/>
            <w:gridSpan w:val="2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2. 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33</w:t>
              </w:r>
            </w:hyperlink>
          </w:p>
        </w:tc>
      </w:tr>
      <w:tr>
        <w:trPr>
          <w:trHeight w:val="263"/>
        </w:trPr>
        <w:tc>
          <w:tcPr>
            <w:tcW w:w="20" w:type="dxa"/>
            <w:vAlign w:val="bottom"/>
          </w:tcPr>
          <w:p>
            <w:pPr>
              <w:spacing w:after="0"/>
              <w:rPr>
                <w:sz w:val="22"/>
                <w:szCs w:val="22"/>
                <w:color w:val="auto"/>
              </w:rPr>
            </w:pPr>
          </w:p>
        </w:tc>
        <w:tc>
          <w:tcPr>
            <w:tcW w:w="9580" w:type="dxa"/>
            <w:vAlign w:val="bottom"/>
            <w:tcBorders>
              <w:top w:val="single" w:sz="8" w:color="0000FF"/>
            </w:tcBorders>
            <w:gridSpan w:val="23"/>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3. QUANTITATIVE AND QUALITATIVE DISCLOSURES ABOUT MARKET RISK</w:t>
              </w:r>
            </w:hyperlink>
          </w:p>
        </w:tc>
        <w:tc>
          <w:tcPr>
            <w:tcW w:w="14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52</w:t>
              </w:r>
            </w:hyperlink>
          </w:p>
        </w:tc>
      </w:tr>
      <w:tr>
        <w:trPr>
          <w:trHeight w:val="263"/>
        </w:trPr>
        <w:tc>
          <w:tcPr>
            <w:tcW w:w="20" w:type="dxa"/>
            <w:vAlign w:val="bottom"/>
          </w:tcPr>
          <w:p>
            <w:pPr>
              <w:spacing w:after="0"/>
              <w:rPr>
                <w:sz w:val="22"/>
                <w:szCs w:val="22"/>
                <w:color w:val="auto"/>
              </w:rPr>
            </w:pPr>
          </w:p>
        </w:tc>
        <w:tc>
          <w:tcPr>
            <w:tcW w:w="6800" w:type="dxa"/>
            <w:vAlign w:val="bottom"/>
            <w:tcBorders>
              <w:top w:val="single" w:sz="8" w:color="0000FF"/>
            </w:tcBorders>
            <w:gridSpan w:val="21"/>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4. CONTROLS AND PROCEDURES</w:t>
              </w:r>
            </w:hyperlink>
          </w:p>
        </w:tc>
        <w:tc>
          <w:tcPr>
            <w:tcW w:w="4200" w:type="dxa"/>
            <w:vAlign w:val="bottom"/>
            <w:gridSpan w:val="3"/>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54</w:t>
              </w:r>
            </w:hyperlink>
          </w:p>
        </w:tc>
      </w:tr>
      <w:tr>
        <w:trPr>
          <w:trHeight w:val="263"/>
        </w:trPr>
        <w:tc>
          <w:tcPr>
            <w:tcW w:w="20" w:type="dxa"/>
            <w:vAlign w:val="bottom"/>
          </w:tcPr>
          <w:p>
            <w:pPr>
              <w:spacing w:after="0"/>
              <w:rPr>
                <w:sz w:val="22"/>
                <w:szCs w:val="22"/>
                <w:color w:val="auto"/>
              </w:rPr>
            </w:pPr>
          </w:p>
        </w:tc>
        <w:tc>
          <w:tcPr>
            <w:tcW w:w="2960" w:type="dxa"/>
            <w:vAlign w:val="bottom"/>
            <w:tcBorders>
              <w:top w:val="single" w:sz="8" w:color="0000FF"/>
              <w:bottom w:val="single" w:sz="8" w:color="0000FF"/>
            </w:tcBorders>
            <w:gridSpan w:val="9"/>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PART II — OTHER INFORMATION</w:t>
              </w:r>
            </w:hyperlink>
          </w:p>
        </w:tc>
        <w:tc>
          <w:tcPr>
            <w:tcW w:w="300" w:type="dxa"/>
            <w:vAlign w:val="bottom"/>
            <w:tcBorders>
              <w:top w:val="single" w:sz="8" w:color="0000FF"/>
            </w:tcBorders>
            <w:gridSpan w:val="3"/>
          </w:tcPr>
          <w:p>
            <w:pPr>
              <w:spacing w:after="0"/>
              <w:rPr>
                <w:sz w:val="22"/>
                <w:szCs w:val="22"/>
                <w:color w:val="auto"/>
              </w:rPr>
            </w:pPr>
          </w:p>
        </w:tc>
        <w:tc>
          <w:tcPr>
            <w:tcW w:w="7740" w:type="dxa"/>
            <w:vAlign w:val="bottom"/>
            <w:gridSpan w:val="12"/>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1000" w:type="dxa"/>
            <w:vAlign w:val="bottom"/>
            <w:gridSpan w:val="24"/>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1. 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55</w:t>
              </w:r>
            </w:hyperlink>
          </w:p>
        </w:tc>
      </w:tr>
      <w:tr>
        <w:trPr>
          <w:trHeight w:val="263"/>
        </w:trPr>
        <w:tc>
          <w:tcPr>
            <w:tcW w:w="20" w:type="dxa"/>
            <w:vAlign w:val="bottom"/>
          </w:tcPr>
          <w:p>
            <w:pPr>
              <w:spacing w:after="0"/>
              <w:rPr>
                <w:sz w:val="22"/>
                <w:szCs w:val="22"/>
                <w:color w:val="auto"/>
              </w:rPr>
            </w:pPr>
          </w:p>
        </w:tc>
        <w:tc>
          <w:tcPr>
            <w:tcW w:w="2540" w:type="dxa"/>
            <w:vAlign w:val="bottom"/>
            <w:tcBorders>
              <w:top w:val="single" w:sz="8" w:color="0000FF"/>
            </w:tcBorders>
            <w:gridSpan w:val="7"/>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1A. RISK FACTORS</w:t>
              </w:r>
            </w:hyperlink>
          </w:p>
        </w:tc>
        <w:tc>
          <w:tcPr>
            <w:tcW w:w="8460" w:type="dxa"/>
            <w:vAlign w:val="bottom"/>
            <w:gridSpan w:val="17"/>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56</w:t>
              </w:r>
            </w:hyperlink>
          </w:p>
        </w:tc>
      </w:tr>
      <w:tr>
        <w:trPr>
          <w:trHeight w:val="263"/>
        </w:trPr>
        <w:tc>
          <w:tcPr>
            <w:tcW w:w="20" w:type="dxa"/>
            <w:vAlign w:val="bottom"/>
          </w:tcPr>
          <w:p>
            <w:pPr>
              <w:spacing w:after="0"/>
              <w:rPr>
                <w:sz w:val="22"/>
                <w:szCs w:val="22"/>
                <w:color w:val="auto"/>
              </w:rPr>
            </w:pPr>
          </w:p>
        </w:tc>
        <w:tc>
          <w:tcPr>
            <w:tcW w:w="15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8"/>
              </w:rPr>
            </w:pPr>
            <w:hyperlink w:anchor="page60">
              <w:r>
                <w:rPr>
                  <w:rFonts w:ascii="Arial" w:cs="Arial" w:eastAsia="Arial" w:hAnsi="Arial"/>
                  <w:sz w:val="18"/>
                  <w:szCs w:val="18"/>
                  <w:color w:val="0000FF"/>
                  <w:w w:val="98"/>
                </w:rPr>
                <w:t>ITEM 6. EXHIBITS</w:t>
              </w:r>
            </w:hyperlink>
          </w:p>
        </w:tc>
        <w:tc>
          <w:tcPr>
            <w:tcW w:w="540" w:type="dxa"/>
            <w:vAlign w:val="bottom"/>
            <w:tcBorders>
              <w:top w:val="single" w:sz="8" w:color="0000FF"/>
            </w:tcBorders>
          </w:tcPr>
          <w:p>
            <w:pPr>
              <w:spacing w:after="0"/>
              <w:rPr>
                <w:sz w:val="22"/>
                <w:szCs w:val="22"/>
                <w:color w:val="auto"/>
              </w:rPr>
            </w:pPr>
          </w:p>
        </w:tc>
        <w:tc>
          <w:tcPr>
            <w:tcW w:w="8960" w:type="dxa"/>
            <w:vAlign w:val="bottom"/>
            <w:gridSpan w:val="19"/>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56</w:t>
              </w:r>
            </w:hyperlink>
          </w:p>
        </w:tc>
      </w:tr>
      <w:tr>
        <w:trPr>
          <w:trHeight w:val="263"/>
        </w:trPr>
        <w:tc>
          <w:tcPr>
            <w:tcW w:w="20" w:type="dxa"/>
            <w:vAlign w:val="bottom"/>
          </w:tcPr>
          <w:p>
            <w:pPr>
              <w:spacing w:after="0"/>
              <w:rPr>
                <w:sz w:val="22"/>
                <w:szCs w:val="22"/>
                <w:color w:val="auto"/>
              </w:rPr>
            </w:pPr>
          </w:p>
        </w:tc>
        <w:tc>
          <w:tcPr>
            <w:tcW w:w="11000" w:type="dxa"/>
            <w:vAlign w:val="bottom"/>
            <w:gridSpan w:val="24"/>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SIGNATURE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58</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References to the “Partnership” or “ET” refer to Energy Transfer LP. In addition, the following is a list of certain acronyms and terms used throughout this document: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ind w:left="360"/>
              <w:spacing w:after="0"/>
              <w:rPr>
                <w:sz w:val="20"/>
                <w:szCs w:val="20"/>
                <w:color w:val="auto"/>
              </w:rPr>
            </w:pPr>
            <w:r>
              <w:rPr>
                <w:rFonts w:ascii="Arial" w:cs="Arial" w:eastAsia="Arial" w:hAnsi="Arial"/>
                <w:sz w:val="18"/>
                <w:szCs w:val="18"/>
                <w:color w:val="auto"/>
              </w:rPr>
              <w:t>/d</w:t>
            </w:r>
          </w:p>
        </w:tc>
        <w:tc>
          <w:tcPr>
            <w:tcW w:w="8520" w:type="dxa"/>
            <w:vAlign w:val="bottom"/>
          </w:tcPr>
          <w:p>
            <w:pPr>
              <w:ind w:left="600"/>
              <w:spacing w:after="0"/>
              <w:rPr>
                <w:sz w:val="20"/>
                <w:szCs w:val="20"/>
                <w:color w:val="auto"/>
              </w:rPr>
            </w:pPr>
            <w:r>
              <w:rPr>
                <w:rFonts w:ascii="Arial" w:cs="Arial" w:eastAsia="Arial" w:hAnsi="Arial"/>
                <w:sz w:val="18"/>
                <w:szCs w:val="18"/>
                <w:color w:val="auto"/>
              </w:rPr>
              <w:t>per day</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AOCI</w:t>
            </w:r>
          </w:p>
        </w:tc>
        <w:tc>
          <w:tcPr>
            <w:tcW w:w="8520" w:type="dxa"/>
            <w:vAlign w:val="bottom"/>
          </w:tcPr>
          <w:p>
            <w:pPr>
              <w:ind w:left="600"/>
              <w:spacing w:after="0"/>
              <w:rPr>
                <w:sz w:val="20"/>
                <w:szCs w:val="20"/>
                <w:color w:val="auto"/>
              </w:rPr>
            </w:pPr>
            <w:r>
              <w:rPr>
                <w:rFonts w:ascii="Arial" w:cs="Arial" w:eastAsia="Arial" w:hAnsi="Arial"/>
                <w:sz w:val="18"/>
                <w:szCs w:val="18"/>
                <w:color w:val="auto"/>
              </w:rPr>
              <w:t>accumulated other comprehensive income (loss)</w:t>
            </w:r>
          </w:p>
        </w:tc>
      </w:tr>
      <w:tr>
        <w:trPr>
          <w:trHeight w:val="284"/>
        </w:trPr>
        <w:tc>
          <w:tcPr>
            <w:tcW w:w="2720" w:type="dxa"/>
            <w:vAlign w:val="bottom"/>
          </w:tcPr>
          <w:p>
            <w:pPr>
              <w:ind w:left="360"/>
              <w:spacing w:after="0"/>
              <w:rPr>
                <w:sz w:val="20"/>
                <w:szCs w:val="20"/>
                <w:color w:val="auto"/>
              </w:rPr>
            </w:pPr>
            <w:r>
              <w:rPr>
                <w:rFonts w:ascii="Arial" w:cs="Arial" w:eastAsia="Arial" w:hAnsi="Arial"/>
                <w:sz w:val="18"/>
                <w:szCs w:val="18"/>
                <w:color w:val="auto"/>
              </w:rPr>
              <w:t>BBtu</w:t>
            </w:r>
          </w:p>
        </w:tc>
        <w:tc>
          <w:tcPr>
            <w:tcW w:w="8520" w:type="dxa"/>
            <w:vAlign w:val="bottom"/>
          </w:tcPr>
          <w:p>
            <w:pPr>
              <w:ind w:left="600"/>
              <w:spacing w:after="0"/>
              <w:rPr>
                <w:sz w:val="20"/>
                <w:szCs w:val="20"/>
                <w:color w:val="auto"/>
              </w:rPr>
            </w:pPr>
            <w:r>
              <w:rPr>
                <w:rFonts w:ascii="Arial" w:cs="Arial" w:eastAsia="Arial" w:hAnsi="Arial"/>
                <w:sz w:val="18"/>
                <w:szCs w:val="18"/>
                <w:color w:val="auto"/>
              </w:rPr>
              <w:t>billion British thermal units</w:t>
            </w:r>
          </w:p>
        </w:tc>
      </w:tr>
      <w:tr>
        <w:trPr>
          <w:trHeight w:val="229"/>
        </w:trPr>
        <w:tc>
          <w:tcPr>
            <w:tcW w:w="2720" w:type="dxa"/>
            <w:vAlign w:val="bottom"/>
          </w:tcPr>
          <w:p>
            <w:pPr>
              <w:ind w:left="360"/>
              <w:spacing w:after="0"/>
              <w:rPr>
                <w:sz w:val="20"/>
                <w:szCs w:val="20"/>
                <w:color w:val="auto"/>
              </w:rPr>
            </w:pPr>
            <w:r>
              <w:rPr>
                <w:rFonts w:ascii="Arial" w:cs="Arial" w:eastAsia="Arial" w:hAnsi="Arial"/>
                <w:sz w:val="18"/>
                <w:szCs w:val="18"/>
                <w:color w:val="auto"/>
              </w:rPr>
              <w:t>Btu</w:t>
            </w:r>
          </w:p>
        </w:tc>
        <w:tc>
          <w:tcPr>
            <w:tcW w:w="8520" w:type="dxa"/>
            <w:vAlign w:val="bottom"/>
          </w:tcPr>
          <w:p>
            <w:pPr>
              <w:ind w:left="600"/>
              <w:spacing w:after="0"/>
              <w:rPr>
                <w:sz w:val="20"/>
                <w:szCs w:val="20"/>
                <w:color w:val="auto"/>
              </w:rPr>
            </w:pPr>
            <w:r>
              <w:rPr>
                <w:rFonts w:ascii="Arial" w:cs="Arial" w:eastAsia="Arial" w:hAnsi="Arial"/>
                <w:sz w:val="18"/>
                <w:szCs w:val="18"/>
                <w:color w:val="auto"/>
                <w:w w:val="91"/>
              </w:rPr>
              <w:t>British thermal unit, an energy measurement used by gas companies to convert the volume of gas used to its</w:t>
            </w:r>
          </w:p>
        </w:tc>
      </w:tr>
      <w:tr>
        <w:trPr>
          <w:trHeight w:val="230"/>
        </w:trPr>
        <w:tc>
          <w:tcPr>
            <w:tcW w:w="2720" w:type="dxa"/>
            <w:vAlign w:val="bottom"/>
          </w:tcPr>
          <w:p>
            <w:pPr>
              <w:spacing w:after="0"/>
              <w:rPr>
                <w:sz w:val="20"/>
                <w:szCs w:val="20"/>
                <w:color w:val="auto"/>
              </w:rPr>
            </w:pPr>
          </w:p>
        </w:tc>
        <w:tc>
          <w:tcPr>
            <w:tcW w:w="8520" w:type="dxa"/>
            <w:vAlign w:val="bottom"/>
          </w:tcPr>
          <w:p>
            <w:pPr>
              <w:ind w:left="600"/>
              <w:spacing w:after="0"/>
              <w:rPr>
                <w:sz w:val="20"/>
                <w:szCs w:val="20"/>
                <w:color w:val="auto"/>
              </w:rPr>
            </w:pPr>
            <w:r>
              <w:rPr>
                <w:rFonts w:ascii="Arial" w:cs="Arial" w:eastAsia="Arial" w:hAnsi="Arial"/>
                <w:sz w:val="18"/>
                <w:szCs w:val="18"/>
                <w:color w:val="auto"/>
              </w:rPr>
              <w:t>heat equivalent, and thus calculate the actual energy content</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Citrus</w:t>
            </w:r>
          </w:p>
        </w:tc>
        <w:tc>
          <w:tcPr>
            <w:tcW w:w="8520" w:type="dxa"/>
            <w:vAlign w:val="bottom"/>
          </w:tcPr>
          <w:p>
            <w:pPr>
              <w:ind w:left="600"/>
              <w:spacing w:after="0"/>
              <w:rPr>
                <w:sz w:val="20"/>
                <w:szCs w:val="20"/>
                <w:color w:val="auto"/>
              </w:rPr>
            </w:pPr>
            <w:r>
              <w:rPr>
                <w:rFonts w:ascii="Arial" w:cs="Arial" w:eastAsia="Arial" w:hAnsi="Arial"/>
                <w:sz w:val="18"/>
                <w:szCs w:val="18"/>
                <w:color w:val="auto"/>
              </w:rPr>
              <w:t>Citrus, LLC, a 50/50 joint venture which owns FGT</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Dakota Access</w:t>
            </w:r>
          </w:p>
        </w:tc>
        <w:tc>
          <w:tcPr>
            <w:tcW w:w="8520" w:type="dxa"/>
            <w:vAlign w:val="bottom"/>
          </w:tcPr>
          <w:p>
            <w:pPr>
              <w:ind w:left="600"/>
              <w:spacing w:after="0"/>
              <w:rPr>
                <w:sz w:val="20"/>
                <w:szCs w:val="20"/>
                <w:color w:val="auto"/>
              </w:rPr>
            </w:pPr>
            <w:r>
              <w:rPr>
                <w:rFonts w:ascii="Arial" w:cs="Arial" w:eastAsia="Arial" w:hAnsi="Arial"/>
                <w:sz w:val="18"/>
                <w:szCs w:val="18"/>
                <w:color w:val="auto"/>
              </w:rPr>
              <w:t>Dakota Access, LLC</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DOJ</w:t>
            </w:r>
          </w:p>
        </w:tc>
        <w:tc>
          <w:tcPr>
            <w:tcW w:w="8520" w:type="dxa"/>
            <w:vAlign w:val="bottom"/>
          </w:tcPr>
          <w:p>
            <w:pPr>
              <w:ind w:left="600"/>
              <w:spacing w:after="0"/>
              <w:rPr>
                <w:sz w:val="20"/>
                <w:szCs w:val="20"/>
                <w:color w:val="auto"/>
              </w:rPr>
            </w:pPr>
            <w:r>
              <w:rPr>
                <w:rFonts w:ascii="Arial" w:cs="Arial" w:eastAsia="Arial" w:hAnsi="Arial"/>
                <w:sz w:val="18"/>
                <w:szCs w:val="18"/>
                <w:color w:val="auto"/>
              </w:rPr>
              <w:t>U.S. Department of Justice</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Enable</w:t>
            </w:r>
          </w:p>
        </w:tc>
        <w:tc>
          <w:tcPr>
            <w:tcW w:w="8520" w:type="dxa"/>
            <w:vAlign w:val="bottom"/>
          </w:tcPr>
          <w:p>
            <w:pPr>
              <w:ind w:left="600"/>
              <w:spacing w:after="0"/>
              <w:rPr>
                <w:sz w:val="20"/>
                <w:szCs w:val="20"/>
                <w:color w:val="auto"/>
              </w:rPr>
            </w:pPr>
            <w:r>
              <w:rPr>
                <w:rFonts w:ascii="Arial" w:cs="Arial" w:eastAsia="Arial" w:hAnsi="Arial"/>
                <w:sz w:val="18"/>
                <w:szCs w:val="18"/>
                <w:color w:val="auto"/>
              </w:rPr>
              <w:t>Enable Midstream Partners, LP, a Delaware limited partnership</w:t>
            </w:r>
          </w:p>
        </w:tc>
      </w:tr>
      <w:tr>
        <w:trPr>
          <w:trHeight w:val="229"/>
        </w:trPr>
        <w:tc>
          <w:tcPr>
            <w:tcW w:w="2720" w:type="dxa"/>
            <w:vAlign w:val="bottom"/>
          </w:tcPr>
          <w:p>
            <w:pPr>
              <w:ind w:left="360"/>
              <w:spacing w:after="0"/>
              <w:rPr>
                <w:sz w:val="20"/>
                <w:szCs w:val="20"/>
                <w:color w:val="auto"/>
              </w:rPr>
            </w:pPr>
            <w:r>
              <w:rPr>
                <w:rFonts w:ascii="Arial" w:cs="Arial" w:eastAsia="Arial" w:hAnsi="Arial"/>
                <w:sz w:val="18"/>
                <w:szCs w:val="18"/>
                <w:color w:val="auto"/>
              </w:rPr>
              <w:t>Energy Transfer Canada</w:t>
            </w:r>
          </w:p>
        </w:tc>
        <w:tc>
          <w:tcPr>
            <w:tcW w:w="8520" w:type="dxa"/>
            <w:vAlign w:val="bottom"/>
          </w:tcPr>
          <w:p>
            <w:pPr>
              <w:ind w:left="600"/>
              <w:spacing w:after="0"/>
              <w:rPr>
                <w:sz w:val="20"/>
                <w:szCs w:val="20"/>
                <w:color w:val="auto"/>
              </w:rPr>
            </w:pPr>
            <w:r>
              <w:rPr>
                <w:rFonts w:ascii="Arial" w:cs="Arial" w:eastAsia="Arial" w:hAnsi="Arial"/>
                <w:sz w:val="18"/>
                <w:szCs w:val="18"/>
                <w:color w:val="auto"/>
                <w:w w:val="93"/>
              </w:rPr>
              <w:t>Energy Transfer Canada ULC (formerly SemCAMS Midstream ULC), a less than wholly-owned subsidiary</w:t>
            </w:r>
          </w:p>
        </w:tc>
      </w:tr>
      <w:tr>
        <w:trPr>
          <w:trHeight w:val="230"/>
        </w:trPr>
        <w:tc>
          <w:tcPr>
            <w:tcW w:w="2720" w:type="dxa"/>
            <w:vAlign w:val="bottom"/>
          </w:tcPr>
          <w:p>
            <w:pPr>
              <w:spacing w:after="0"/>
              <w:rPr>
                <w:sz w:val="20"/>
                <w:szCs w:val="20"/>
                <w:color w:val="auto"/>
              </w:rPr>
            </w:pPr>
          </w:p>
        </w:tc>
        <w:tc>
          <w:tcPr>
            <w:tcW w:w="8520" w:type="dxa"/>
            <w:vAlign w:val="bottom"/>
          </w:tcPr>
          <w:p>
            <w:pPr>
              <w:ind w:left="600"/>
              <w:spacing w:after="0"/>
              <w:rPr>
                <w:sz w:val="20"/>
                <w:szCs w:val="20"/>
                <w:color w:val="auto"/>
              </w:rPr>
            </w:pPr>
            <w:r>
              <w:rPr>
                <w:rFonts w:ascii="Arial" w:cs="Arial" w:eastAsia="Arial" w:hAnsi="Arial"/>
                <w:sz w:val="18"/>
                <w:szCs w:val="18"/>
                <w:color w:val="auto"/>
              </w:rPr>
              <w:t>of ET</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EPA</w:t>
            </w:r>
          </w:p>
        </w:tc>
        <w:tc>
          <w:tcPr>
            <w:tcW w:w="8520" w:type="dxa"/>
            <w:vAlign w:val="bottom"/>
          </w:tcPr>
          <w:p>
            <w:pPr>
              <w:ind w:left="600"/>
              <w:spacing w:after="0"/>
              <w:rPr>
                <w:sz w:val="20"/>
                <w:szCs w:val="20"/>
                <w:color w:val="auto"/>
              </w:rPr>
            </w:pPr>
            <w:r>
              <w:rPr>
                <w:rFonts w:ascii="Arial" w:cs="Arial" w:eastAsia="Arial" w:hAnsi="Arial"/>
                <w:sz w:val="18"/>
                <w:szCs w:val="18"/>
                <w:color w:val="auto"/>
              </w:rPr>
              <w:t>U.S. Environmental Protection Agency</w:t>
            </w:r>
          </w:p>
        </w:tc>
      </w:tr>
      <w:tr>
        <w:trPr>
          <w:trHeight w:val="229"/>
        </w:trPr>
        <w:tc>
          <w:tcPr>
            <w:tcW w:w="2720" w:type="dxa"/>
            <w:vAlign w:val="bottom"/>
          </w:tcPr>
          <w:p>
            <w:pPr>
              <w:ind w:left="360"/>
              <w:spacing w:after="0"/>
              <w:rPr>
                <w:sz w:val="20"/>
                <w:szCs w:val="20"/>
                <w:color w:val="auto"/>
              </w:rPr>
            </w:pPr>
            <w:r>
              <w:rPr>
                <w:rFonts w:ascii="Arial" w:cs="Arial" w:eastAsia="Arial" w:hAnsi="Arial"/>
                <w:sz w:val="18"/>
                <w:szCs w:val="18"/>
                <w:color w:val="auto"/>
              </w:rPr>
              <w:t>ET Preferred Units</w:t>
            </w:r>
          </w:p>
        </w:tc>
        <w:tc>
          <w:tcPr>
            <w:tcW w:w="8520" w:type="dxa"/>
            <w:vAlign w:val="bottom"/>
          </w:tcPr>
          <w:p>
            <w:pPr>
              <w:ind w:left="600"/>
              <w:spacing w:after="0"/>
              <w:rPr>
                <w:sz w:val="20"/>
                <w:szCs w:val="20"/>
                <w:color w:val="auto"/>
              </w:rPr>
            </w:pPr>
            <w:r>
              <w:rPr>
                <w:rFonts w:ascii="Arial" w:cs="Arial" w:eastAsia="Arial" w:hAnsi="Arial"/>
                <w:sz w:val="18"/>
                <w:szCs w:val="18"/>
                <w:color w:val="auto"/>
                <w:w w:val="97"/>
              </w:rPr>
              <w:t>Collectively, the Series A Preferred Units, Series B Preferred Units, Series C Preferred Units, Series D</w:t>
            </w:r>
          </w:p>
        </w:tc>
      </w:tr>
      <w:tr>
        <w:trPr>
          <w:trHeight w:val="176"/>
        </w:trPr>
        <w:tc>
          <w:tcPr>
            <w:tcW w:w="2720" w:type="dxa"/>
            <w:vAlign w:val="bottom"/>
          </w:tcPr>
          <w:p>
            <w:pPr>
              <w:spacing w:after="0"/>
              <w:rPr>
                <w:sz w:val="15"/>
                <w:szCs w:val="15"/>
                <w:color w:val="auto"/>
              </w:rPr>
            </w:pPr>
          </w:p>
        </w:tc>
        <w:tc>
          <w:tcPr>
            <w:tcW w:w="8520" w:type="dxa"/>
            <w:vAlign w:val="bottom"/>
          </w:tcPr>
          <w:p>
            <w:pPr>
              <w:ind w:left="600"/>
              <w:spacing w:after="0" w:line="176" w:lineRule="exact"/>
              <w:rPr>
                <w:sz w:val="20"/>
                <w:szCs w:val="20"/>
                <w:color w:val="auto"/>
              </w:rPr>
            </w:pPr>
            <w:r>
              <w:rPr>
                <w:rFonts w:ascii="Arial" w:cs="Arial" w:eastAsia="Arial" w:hAnsi="Arial"/>
                <w:sz w:val="18"/>
                <w:szCs w:val="18"/>
                <w:color w:val="auto"/>
                <w:w w:val="99"/>
              </w:rPr>
              <w:t>Preferred Units, Series E Preferred Units, Series F Preferred Units and Series G Preferred Units (all</w:t>
            </w:r>
          </w:p>
        </w:tc>
      </w:tr>
      <w:tr>
        <w:trPr>
          <w:trHeight w:val="230"/>
        </w:trPr>
        <w:tc>
          <w:tcPr>
            <w:tcW w:w="2720" w:type="dxa"/>
            <w:vAlign w:val="bottom"/>
          </w:tcPr>
          <w:p>
            <w:pPr>
              <w:spacing w:after="0"/>
              <w:rPr>
                <w:sz w:val="20"/>
                <w:szCs w:val="20"/>
                <w:color w:val="auto"/>
              </w:rPr>
            </w:pPr>
          </w:p>
        </w:tc>
        <w:tc>
          <w:tcPr>
            <w:tcW w:w="8520" w:type="dxa"/>
            <w:vAlign w:val="bottom"/>
          </w:tcPr>
          <w:p>
            <w:pPr>
              <w:ind w:left="600"/>
              <w:spacing w:after="0"/>
              <w:rPr>
                <w:sz w:val="20"/>
                <w:szCs w:val="20"/>
                <w:color w:val="auto"/>
              </w:rPr>
            </w:pPr>
            <w:r>
              <w:rPr>
                <w:rFonts w:ascii="Arial" w:cs="Arial" w:eastAsia="Arial" w:hAnsi="Arial"/>
                <w:sz w:val="18"/>
                <w:szCs w:val="18"/>
                <w:color w:val="auto"/>
              </w:rPr>
              <w:t>originally issued by ETO and exchanged for preferred units issued by ET on April 1, 2021)</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ETC Tiger</w:t>
            </w:r>
          </w:p>
        </w:tc>
        <w:tc>
          <w:tcPr>
            <w:tcW w:w="8520" w:type="dxa"/>
            <w:vAlign w:val="bottom"/>
          </w:tcPr>
          <w:p>
            <w:pPr>
              <w:ind w:left="600"/>
              <w:spacing w:after="0"/>
              <w:rPr>
                <w:sz w:val="20"/>
                <w:szCs w:val="20"/>
                <w:color w:val="auto"/>
              </w:rPr>
            </w:pPr>
            <w:r>
              <w:rPr>
                <w:rFonts w:ascii="Arial" w:cs="Arial" w:eastAsia="Arial" w:hAnsi="Arial"/>
                <w:sz w:val="18"/>
                <w:szCs w:val="18"/>
                <w:color w:val="auto"/>
              </w:rPr>
              <w:t>ETC Tiger Pipeline, LLC, a wholly-owned subsidiary of ET, which owns the Tiger Pipeline</w:t>
            </w:r>
          </w:p>
        </w:tc>
      </w:tr>
      <w:tr>
        <w:trPr>
          <w:trHeight w:val="284"/>
        </w:trPr>
        <w:tc>
          <w:tcPr>
            <w:tcW w:w="2720" w:type="dxa"/>
            <w:vAlign w:val="bottom"/>
          </w:tcPr>
          <w:p>
            <w:pPr>
              <w:ind w:left="360"/>
              <w:spacing w:after="0"/>
              <w:rPr>
                <w:sz w:val="20"/>
                <w:szCs w:val="20"/>
                <w:color w:val="auto"/>
              </w:rPr>
            </w:pPr>
            <w:r>
              <w:rPr>
                <w:rFonts w:ascii="Arial" w:cs="Arial" w:eastAsia="Arial" w:hAnsi="Arial"/>
                <w:sz w:val="18"/>
                <w:szCs w:val="18"/>
                <w:color w:val="auto"/>
              </w:rPr>
              <w:t>ETO</w:t>
            </w:r>
          </w:p>
        </w:tc>
        <w:tc>
          <w:tcPr>
            <w:tcW w:w="8520" w:type="dxa"/>
            <w:vAlign w:val="bottom"/>
          </w:tcPr>
          <w:p>
            <w:pPr>
              <w:ind w:left="600"/>
              <w:spacing w:after="0"/>
              <w:rPr>
                <w:sz w:val="20"/>
                <w:szCs w:val="20"/>
                <w:color w:val="auto"/>
              </w:rPr>
            </w:pPr>
            <w:r>
              <w:rPr>
                <w:rFonts w:ascii="Arial" w:cs="Arial" w:eastAsia="Arial" w:hAnsi="Arial"/>
                <w:sz w:val="18"/>
                <w:szCs w:val="18"/>
                <w:color w:val="auto"/>
              </w:rPr>
              <w:t>Energy Transfer Operating, L.P.</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Exchange Act</w:t>
            </w:r>
          </w:p>
        </w:tc>
        <w:tc>
          <w:tcPr>
            <w:tcW w:w="8520" w:type="dxa"/>
            <w:vAlign w:val="bottom"/>
          </w:tcPr>
          <w:p>
            <w:pPr>
              <w:ind w:left="600"/>
              <w:spacing w:after="0"/>
              <w:rPr>
                <w:sz w:val="20"/>
                <w:szCs w:val="20"/>
                <w:color w:val="auto"/>
              </w:rPr>
            </w:pPr>
            <w:r>
              <w:rPr>
                <w:rFonts w:ascii="Arial" w:cs="Arial" w:eastAsia="Arial" w:hAnsi="Arial"/>
                <w:sz w:val="18"/>
                <w:szCs w:val="18"/>
                <w:color w:val="auto"/>
              </w:rPr>
              <w:t>Securities Exchange Act of 1934</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FEP</w:t>
            </w:r>
          </w:p>
        </w:tc>
        <w:tc>
          <w:tcPr>
            <w:tcW w:w="8520" w:type="dxa"/>
            <w:vAlign w:val="bottom"/>
          </w:tcPr>
          <w:p>
            <w:pPr>
              <w:ind w:left="600"/>
              <w:spacing w:after="0"/>
              <w:rPr>
                <w:sz w:val="20"/>
                <w:szCs w:val="20"/>
                <w:color w:val="auto"/>
              </w:rPr>
            </w:pPr>
            <w:r>
              <w:rPr>
                <w:rFonts w:ascii="Arial" w:cs="Arial" w:eastAsia="Arial" w:hAnsi="Arial"/>
                <w:sz w:val="18"/>
                <w:szCs w:val="18"/>
                <w:color w:val="auto"/>
              </w:rPr>
              <w:t>Fayetteville Express Pipeline LLC</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FERC</w:t>
            </w:r>
          </w:p>
        </w:tc>
        <w:tc>
          <w:tcPr>
            <w:tcW w:w="8520" w:type="dxa"/>
            <w:vAlign w:val="bottom"/>
          </w:tcPr>
          <w:p>
            <w:pPr>
              <w:ind w:left="600"/>
              <w:spacing w:after="0"/>
              <w:rPr>
                <w:sz w:val="20"/>
                <w:szCs w:val="20"/>
                <w:color w:val="auto"/>
              </w:rPr>
            </w:pPr>
            <w:r>
              <w:rPr>
                <w:rFonts w:ascii="Arial" w:cs="Arial" w:eastAsia="Arial" w:hAnsi="Arial"/>
                <w:sz w:val="18"/>
                <w:szCs w:val="18"/>
                <w:color w:val="auto"/>
              </w:rPr>
              <w:t>Federal Energy Regulatory Commission</w:t>
            </w:r>
          </w:p>
        </w:tc>
      </w:tr>
      <w:tr>
        <w:trPr>
          <w:trHeight w:val="284"/>
        </w:trPr>
        <w:tc>
          <w:tcPr>
            <w:tcW w:w="2720" w:type="dxa"/>
            <w:vAlign w:val="bottom"/>
          </w:tcPr>
          <w:p>
            <w:pPr>
              <w:ind w:left="360"/>
              <w:spacing w:after="0"/>
              <w:rPr>
                <w:sz w:val="20"/>
                <w:szCs w:val="20"/>
                <w:color w:val="auto"/>
              </w:rPr>
            </w:pPr>
            <w:r>
              <w:rPr>
                <w:rFonts w:ascii="Arial" w:cs="Arial" w:eastAsia="Arial" w:hAnsi="Arial"/>
                <w:sz w:val="18"/>
                <w:szCs w:val="18"/>
                <w:color w:val="auto"/>
              </w:rPr>
              <w:t>FGT</w:t>
            </w:r>
          </w:p>
        </w:tc>
        <w:tc>
          <w:tcPr>
            <w:tcW w:w="8520" w:type="dxa"/>
            <w:vAlign w:val="bottom"/>
          </w:tcPr>
          <w:p>
            <w:pPr>
              <w:ind w:left="600"/>
              <w:spacing w:after="0"/>
              <w:rPr>
                <w:sz w:val="20"/>
                <w:szCs w:val="20"/>
                <w:color w:val="auto"/>
              </w:rPr>
            </w:pPr>
            <w:r>
              <w:rPr>
                <w:rFonts w:ascii="Arial" w:cs="Arial" w:eastAsia="Arial" w:hAnsi="Arial"/>
                <w:sz w:val="18"/>
                <w:szCs w:val="18"/>
                <w:color w:val="auto"/>
              </w:rPr>
              <w:t>Florida Gas Transmission Company, LLC, a wholly-owned subsidiary of Citrus</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GAAP</w:t>
            </w:r>
          </w:p>
        </w:tc>
        <w:tc>
          <w:tcPr>
            <w:tcW w:w="8520" w:type="dxa"/>
            <w:vAlign w:val="bottom"/>
          </w:tcPr>
          <w:p>
            <w:pPr>
              <w:ind w:left="60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HFOTCO</w:t>
            </w:r>
          </w:p>
        </w:tc>
        <w:tc>
          <w:tcPr>
            <w:tcW w:w="8520" w:type="dxa"/>
            <w:vAlign w:val="bottom"/>
          </w:tcPr>
          <w:p>
            <w:pPr>
              <w:ind w:left="600"/>
              <w:spacing w:after="0"/>
              <w:rPr>
                <w:sz w:val="20"/>
                <w:szCs w:val="20"/>
                <w:color w:val="auto"/>
              </w:rPr>
            </w:pPr>
            <w:r>
              <w:rPr>
                <w:rFonts w:ascii="Arial" w:cs="Arial" w:eastAsia="Arial" w:hAnsi="Arial"/>
                <w:sz w:val="18"/>
                <w:szCs w:val="18"/>
                <w:color w:val="auto"/>
                <w:w w:val="94"/>
              </w:rPr>
              <w:t>Houston Fuel Oil Terminal Company, a wholly-owned subsidiary of ET, which owns the Houston Terminal</w:t>
            </w:r>
          </w:p>
        </w:tc>
      </w:tr>
      <w:tr>
        <w:trPr>
          <w:trHeight w:val="284"/>
        </w:trPr>
        <w:tc>
          <w:tcPr>
            <w:tcW w:w="2720" w:type="dxa"/>
            <w:vAlign w:val="bottom"/>
          </w:tcPr>
          <w:p>
            <w:pPr>
              <w:ind w:left="360"/>
              <w:spacing w:after="0"/>
              <w:rPr>
                <w:sz w:val="20"/>
                <w:szCs w:val="20"/>
                <w:color w:val="auto"/>
              </w:rPr>
            </w:pPr>
            <w:r>
              <w:rPr>
                <w:rFonts w:ascii="Arial" w:cs="Arial" w:eastAsia="Arial" w:hAnsi="Arial"/>
                <w:sz w:val="18"/>
                <w:szCs w:val="18"/>
                <w:color w:val="auto"/>
              </w:rPr>
              <w:t>Lake Charles LNG</w:t>
            </w:r>
          </w:p>
        </w:tc>
        <w:tc>
          <w:tcPr>
            <w:tcW w:w="8520" w:type="dxa"/>
            <w:vAlign w:val="bottom"/>
          </w:tcPr>
          <w:p>
            <w:pPr>
              <w:ind w:left="600"/>
              <w:spacing w:after="0"/>
              <w:rPr>
                <w:sz w:val="20"/>
                <w:szCs w:val="20"/>
                <w:color w:val="auto"/>
              </w:rPr>
            </w:pPr>
            <w:r>
              <w:rPr>
                <w:rFonts w:ascii="Arial" w:cs="Arial" w:eastAsia="Arial" w:hAnsi="Arial"/>
                <w:sz w:val="18"/>
                <w:szCs w:val="18"/>
                <w:color w:val="auto"/>
              </w:rPr>
              <w:t>Lake Charles LNG Company, LLC, a wholly-owned subsidiary of ET</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LE GP</w:t>
            </w:r>
          </w:p>
        </w:tc>
        <w:tc>
          <w:tcPr>
            <w:tcW w:w="8520" w:type="dxa"/>
            <w:vAlign w:val="bottom"/>
          </w:tcPr>
          <w:p>
            <w:pPr>
              <w:ind w:left="600"/>
              <w:spacing w:after="0"/>
              <w:rPr>
                <w:sz w:val="20"/>
                <w:szCs w:val="20"/>
                <w:color w:val="auto"/>
              </w:rPr>
            </w:pPr>
            <w:r>
              <w:rPr>
                <w:rFonts w:ascii="Arial" w:cs="Arial" w:eastAsia="Arial" w:hAnsi="Arial"/>
                <w:sz w:val="18"/>
                <w:szCs w:val="18"/>
                <w:color w:val="auto"/>
              </w:rPr>
              <w:t>LE GP, LLC, the general partner of ET</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LIBOR</w:t>
            </w:r>
          </w:p>
        </w:tc>
        <w:tc>
          <w:tcPr>
            <w:tcW w:w="8520" w:type="dxa"/>
            <w:vAlign w:val="bottom"/>
          </w:tcPr>
          <w:p>
            <w:pPr>
              <w:ind w:left="600"/>
              <w:spacing w:after="0"/>
              <w:rPr>
                <w:sz w:val="20"/>
                <w:szCs w:val="20"/>
                <w:color w:val="auto"/>
              </w:rPr>
            </w:pPr>
            <w:r>
              <w:rPr>
                <w:rFonts w:ascii="Arial" w:cs="Arial" w:eastAsia="Arial" w:hAnsi="Arial"/>
                <w:sz w:val="18"/>
                <w:szCs w:val="18"/>
                <w:color w:val="auto"/>
              </w:rPr>
              <w:t>London Interbank Offered Rate</w:t>
            </w:r>
          </w:p>
        </w:tc>
      </w:tr>
      <w:tr>
        <w:trPr>
          <w:trHeight w:val="284"/>
        </w:trPr>
        <w:tc>
          <w:tcPr>
            <w:tcW w:w="2720" w:type="dxa"/>
            <w:vAlign w:val="bottom"/>
          </w:tcPr>
          <w:p>
            <w:pPr>
              <w:ind w:left="360"/>
              <w:spacing w:after="0"/>
              <w:rPr>
                <w:sz w:val="20"/>
                <w:szCs w:val="20"/>
                <w:color w:val="auto"/>
              </w:rPr>
            </w:pPr>
            <w:r>
              <w:rPr>
                <w:rFonts w:ascii="Arial" w:cs="Arial" w:eastAsia="Arial" w:hAnsi="Arial"/>
                <w:sz w:val="18"/>
                <w:szCs w:val="18"/>
                <w:color w:val="auto"/>
              </w:rPr>
              <w:t>MBbls</w:t>
            </w:r>
          </w:p>
        </w:tc>
        <w:tc>
          <w:tcPr>
            <w:tcW w:w="8520" w:type="dxa"/>
            <w:vAlign w:val="bottom"/>
          </w:tcPr>
          <w:p>
            <w:pPr>
              <w:ind w:left="600"/>
              <w:spacing w:after="0"/>
              <w:rPr>
                <w:sz w:val="20"/>
                <w:szCs w:val="20"/>
                <w:color w:val="auto"/>
              </w:rPr>
            </w:pPr>
            <w:r>
              <w:rPr>
                <w:rFonts w:ascii="Arial" w:cs="Arial" w:eastAsia="Arial" w:hAnsi="Arial"/>
                <w:sz w:val="18"/>
                <w:szCs w:val="18"/>
                <w:color w:val="auto"/>
              </w:rPr>
              <w:t>thousand barrels</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MEP</w:t>
            </w:r>
          </w:p>
        </w:tc>
        <w:tc>
          <w:tcPr>
            <w:tcW w:w="8520" w:type="dxa"/>
            <w:vAlign w:val="bottom"/>
          </w:tcPr>
          <w:p>
            <w:pPr>
              <w:ind w:left="600"/>
              <w:spacing w:after="0"/>
              <w:rPr>
                <w:sz w:val="20"/>
                <w:szCs w:val="20"/>
                <w:color w:val="auto"/>
              </w:rPr>
            </w:pPr>
            <w:r>
              <w:rPr>
                <w:rFonts w:ascii="Arial" w:cs="Arial" w:eastAsia="Arial" w:hAnsi="Arial"/>
                <w:sz w:val="18"/>
                <w:szCs w:val="18"/>
                <w:color w:val="auto"/>
              </w:rPr>
              <w:t>Midcontinent Express Pipeline LLC</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MTBE</w:t>
            </w:r>
          </w:p>
        </w:tc>
        <w:tc>
          <w:tcPr>
            <w:tcW w:w="8520" w:type="dxa"/>
            <w:vAlign w:val="bottom"/>
          </w:tcPr>
          <w:p>
            <w:pPr>
              <w:ind w:left="600"/>
              <w:spacing w:after="0"/>
              <w:rPr>
                <w:sz w:val="20"/>
                <w:szCs w:val="20"/>
                <w:color w:val="auto"/>
              </w:rPr>
            </w:pPr>
            <w:r>
              <w:rPr>
                <w:rFonts w:ascii="Arial" w:cs="Arial" w:eastAsia="Arial" w:hAnsi="Arial"/>
                <w:sz w:val="18"/>
                <w:szCs w:val="18"/>
                <w:color w:val="auto"/>
              </w:rPr>
              <w:t>methyl tertiary butyl ether</w:t>
            </w:r>
          </w:p>
        </w:tc>
      </w:tr>
      <w:tr>
        <w:trPr>
          <w:trHeight w:val="284"/>
        </w:trPr>
        <w:tc>
          <w:tcPr>
            <w:tcW w:w="2720" w:type="dxa"/>
            <w:vAlign w:val="bottom"/>
          </w:tcPr>
          <w:p>
            <w:pPr>
              <w:ind w:left="360"/>
              <w:spacing w:after="0"/>
              <w:rPr>
                <w:sz w:val="20"/>
                <w:szCs w:val="20"/>
                <w:color w:val="auto"/>
              </w:rPr>
            </w:pPr>
            <w:r>
              <w:rPr>
                <w:rFonts w:ascii="Arial" w:cs="Arial" w:eastAsia="Arial" w:hAnsi="Arial"/>
                <w:sz w:val="18"/>
                <w:szCs w:val="18"/>
                <w:color w:val="auto"/>
              </w:rPr>
              <w:t>NGL</w:t>
            </w:r>
          </w:p>
        </w:tc>
        <w:tc>
          <w:tcPr>
            <w:tcW w:w="8520" w:type="dxa"/>
            <w:vAlign w:val="bottom"/>
          </w:tcPr>
          <w:p>
            <w:pPr>
              <w:ind w:left="600"/>
              <w:spacing w:after="0"/>
              <w:rPr>
                <w:sz w:val="20"/>
                <w:szCs w:val="20"/>
                <w:color w:val="auto"/>
              </w:rPr>
            </w:pPr>
            <w:r>
              <w:rPr>
                <w:rFonts w:ascii="Arial" w:cs="Arial" w:eastAsia="Arial" w:hAnsi="Arial"/>
                <w:sz w:val="18"/>
                <w:szCs w:val="18"/>
                <w:color w:val="auto"/>
              </w:rPr>
              <w:t>natural gas liquid, such as propane, butane and natural gasoline</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NYMEX</w:t>
            </w:r>
          </w:p>
        </w:tc>
        <w:tc>
          <w:tcPr>
            <w:tcW w:w="8520" w:type="dxa"/>
            <w:vAlign w:val="bottom"/>
          </w:tcPr>
          <w:p>
            <w:pPr>
              <w:ind w:left="600"/>
              <w:spacing w:after="0"/>
              <w:rPr>
                <w:sz w:val="20"/>
                <w:szCs w:val="20"/>
                <w:color w:val="auto"/>
              </w:rPr>
            </w:pPr>
            <w:r>
              <w:rPr>
                <w:rFonts w:ascii="Arial" w:cs="Arial" w:eastAsia="Arial" w:hAnsi="Arial"/>
                <w:sz w:val="18"/>
                <w:szCs w:val="18"/>
                <w:color w:val="auto"/>
              </w:rPr>
              <w:t>New York Mercantile Exchange</w:t>
            </w:r>
          </w:p>
        </w:tc>
      </w:tr>
      <w:tr>
        <w:trPr>
          <w:trHeight w:val="284"/>
        </w:trPr>
        <w:tc>
          <w:tcPr>
            <w:tcW w:w="2720" w:type="dxa"/>
            <w:vAlign w:val="bottom"/>
          </w:tcPr>
          <w:p>
            <w:pPr>
              <w:ind w:left="360"/>
              <w:spacing w:after="0"/>
              <w:rPr>
                <w:sz w:val="20"/>
                <w:szCs w:val="20"/>
                <w:color w:val="auto"/>
              </w:rPr>
            </w:pPr>
            <w:r>
              <w:rPr>
                <w:rFonts w:ascii="Arial" w:cs="Arial" w:eastAsia="Arial" w:hAnsi="Arial"/>
                <w:sz w:val="18"/>
                <w:szCs w:val="18"/>
                <w:color w:val="auto"/>
              </w:rPr>
              <w:t>OSHA</w:t>
            </w:r>
          </w:p>
        </w:tc>
        <w:tc>
          <w:tcPr>
            <w:tcW w:w="8520" w:type="dxa"/>
            <w:vAlign w:val="bottom"/>
          </w:tcPr>
          <w:p>
            <w:pPr>
              <w:ind w:left="600"/>
              <w:spacing w:after="0"/>
              <w:rPr>
                <w:sz w:val="20"/>
                <w:szCs w:val="20"/>
                <w:color w:val="auto"/>
              </w:rPr>
            </w:pPr>
            <w:r>
              <w:rPr>
                <w:rFonts w:ascii="Arial" w:cs="Arial" w:eastAsia="Arial" w:hAnsi="Arial"/>
                <w:sz w:val="18"/>
                <w:szCs w:val="18"/>
                <w:color w:val="auto"/>
              </w:rPr>
              <w:t>Federal Occupational Safety and Health Act</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OTC</w:t>
            </w:r>
          </w:p>
        </w:tc>
        <w:tc>
          <w:tcPr>
            <w:tcW w:w="8520" w:type="dxa"/>
            <w:vAlign w:val="bottom"/>
          </w:tcPr>
          <w:p>
            <w:pPr>
              <w:ind w:left="600"/>
              <w:spacing w:after="0"/>
              <w:rPr>
                <w:sz w:val="20"/>
                <w:szCs w:val="20"/>
                <w:color w:val="auto"/>
              </w:rPr>
            </w:pPr>
            <w:r>
              <w:rPr>
                <w:rFonts w:ascii="Arial" w:cs="Arial" w:eastAsia="Arial" w:hAnsi="Arial"/>
                <w:sz w:val="18"/>
                <w:szCs w:val="18"/>
                <w:color w:val="auto"/>
              </w:rPr>
              <w:t>over-the-counter</w:t>
            </w:r>
          </w:p>
        </w:tc>
      </w:tr>
      <w:tr>
        <w:trPr>
          <w:trHeight w:val="283"/>
        </w:trPr>
        <w:tc>
          <w:tcPr>
            <w:tcW w:w="2720" w:type="dxa"/>
            <w:vAlign w:val="bottom"/>
          </w:tcPr>
          <w:p>
            <w:pPr>
              <w:ind w:left="360"/>
              <w:spacing w:after="0"/>
              <w:rPr>
                <w:sz w:val="20"/>
                <w:szCs w:val="20"/>
                <w:color w:val="auto"/>
              </w:rPr>
            </w:pPr>
            <w:r>
              <w:rPr>
                <w:rFonts w:ascii="Arial" w:cs="Arial" w:eastAsia="Arial" w:hAnsi="Arial"/>
                <w:sz w:val="18"/>
                <w:szCs w:val="18"/>
                <w:color w:val="auto"/>
              </w:rPr>
              <w:t>Panhandle</w:t>
            </w:r>
          </w:p>
        </w:tc>
        <w:tc>
          <w:tcPr>
            <w:tcW w:w="8520" w:type="dxa"/>
            <w:vAlign w:val="bottom"/>
          </w:tcPr>
          <w:p>
            <w:pPr>
              <w:ind w:left="600"/>
              <w:spacing w:after="0"/>
              <w:rPr>
                <w:sz w:val="20"/>
                <w:szCs w:val="20"/>
                <w:color w:val="auto"/>
              </w:rPr>
            </w:pPr>
            <w:r>
              <w:rPr>
                <w:rFonts w:ascii="Arial" w:cs="Arial" w:eastAsia="Arial" w:hAnsi="Arial"/>
                <w:sz w:val="18"/>
                <w:szCs w:val="18"/>
                <w:color w:val="auto"/>
              </w:rPr>
              <w:t>Panhandle Eastern Pipe Line Company, LP, a wholly-owned subsidiary of ET</w:t>
            </w:r>
          </w:p>
        </w:tc>
      </w:tr>
      <w:tr>
        <w:trPr>
          <w:trHeight w:val="284"/>
        </w:trPr>
        <w:tc>
          <w:tcPr>
            <w:tcW w:w="2720" w:type="dxa"/>
            <w:vAlign w:val="bottom"/>
          </w:tcPr>
          <w:p>
            <w:pPr>
              <w:ind w:left="360"/>
              <w:spacing w:after="0"/>
              <w:rPr>
                <w:sz w:val="20"/>
                <w:szCs w:val="20"/>
                <w:color w:val="auto"/>
              </w:rPr>
            </w:pPr>
            <w:r>
              <w:rPr>
                <w:rFonts w:ascii="Arial" w:cs="Arial" w:eastAsia="Arial" w:hAnsi="Arial"/>
                <w:sz w:val="18"/>
                <w:szCs w:val="18"/>
                <w:color w:val="auto"/>
              </w:rPr>
              <w:t>Regency</w:t>
            </w:r>
          </w:p>
        </w:tc>
        <w:tc>
          <w:tcPr>
            <w:tcW w:w="8520" w:type="dxa"/>
            <w:vAlign w:val="bottom"/>
          </w:tcPr>
          <w:p>
            <w:pPr>
              <w:ind w:left="600"/>
              <w:spacing w:after="0"/>
              <w:rPr>
                <w:sz w:val="20"/>
                <w:szCs w:val="20"/>
                <w:color w:val="auto"/>
              </w:rPr>
            </w:pPr>
            <w:r>
              <w:rPr>
                <w:rFonts w:ascii="Arial" w:cs="Arial" w:eastAsia="Arial" w:hAnsi="Arial"/>
                <w:sz w:val="18"/>
                <w:szCs w:val="18"/>
                <w:color w:val="auto"/>
              </w:rPr>
              <w:t>Regency Energy Partners LP</w:t>
            </w:r>
          </w:p>
        </w:tc>
      </w:tr>
      <w:tr>
        <w:trPr>
          <w:trHeight w:val="904"/>
        </w:trPr>
        <w:tc>
          <w:tcPr>
            <w:tcW w:w="2720" w:type="dxa"/>
            <w:vAlign w:val="bottom"/>
          </w:tcPr>
          <w:p>
            <w:pPr>
              <w:spacing w:after="0"/>
              <w:rPr>
                <w:sz w:val="24"/>
                <w:szCs w:val="24"/>
                <w:color w:val="auto"/>
              </w:rPr>
            </w:pPr>
          </w:p>
        </w:tc>
        <w:tc>
          <w:tcPr>
            <w:tcW w:w="8520" w:type="dxa"/>
            <w:vAlign w:val="bottom"/>
          </w:tcPr>
          <w:p>
            <w:pPr>
              <w:ind w:left="2860"/>
              <w:spacing w:after="0"/>
              <w:rPr>
                <w:sz w:val="20"/>
                <w:szCs w:val="20"/>
                <w:color w:val="auto"/>
              </w:rPr>
            </w:pPr>
            <w:r>
              <w:rPr>
                <w:rFonts w:ascii="Arial" w:cs="Arial" w:eastAsia="Arial" w:hAnsi="Arial"/>
                <w:sz w:val="18"/>
                <w:szCs w:val="18"/>
                <w:color w:val="auto"/>
              </w:rPr>
              <w:t>ii</w:t>
            </w:r>
          </w:p>
        </w:tc>
      </w:tr>
      <w:tr>
        <w:trPr>
          <w:trHeight w:val="115"/>
        </w:trPr>
        <w:tc>
          <w:tcPr>
            <w:tcW w:w="2720" w:type="dxa"/>
            <w:vAlign w:val="bottom"/>
            <w:tcBorders>
              <w:bottom w:val="single" w:sz="8" w:color="9A9A9A"/>
            </w:tcBorders>
          </w:tcPr>
          <w:p>
            <w:pPr>
              <w:spacing w:after="0"/>
              <w:rPr>
                <w:sz w:val="10"/>
                <w:szCs w:val="10"/>
                <w:color w:val="auto"/>
              </w:rPr>
            </w:pPr>
          </w:p>
        </w:tc>
        <w:tc>
          <w:tcPr>
            <w:tcW w:w="8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8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020" w:type="dxa"/>
            <w:vAlign w:val="bottom"/>
          </w:tcPr>
          <w:p>
            <w:pPr>
              <w:spacing w:after="0"/>
              <w:rPr>
                <w:sz w:val="17"/>
                <w:szCs w:val="17"/>
                <w:color w:val="auto"/>
              </w:rPr>
            </w:pPr>
          </w:p>
        </w:tc>
        <w:tc>
          <w:tcPr>
            <w:tcW w:w="6020" w:type="dxa"/>
            <w:vAlign w:val="bottom"/>
          </w:tcPr>
          <w:p>
            <w:pPr>
              <w:spacing w:after="0"/>
              <w:rPr>
                <w:sz w:val="17"/>
                <w:szCs w:val="17"/>
                <w:color w:val="auto"/>
              </w:rPr>
            </w:pPr>
          </w:p>
        </w:tc>
      </w:tr>
      <w:tr>
        <w:trPr>
          <w:trHeight w:val="925"/>
        </w:trPr>
        <w:tc>
          <w:tcPr>
            <w:tcW w:w="1280" w:type="dxa"/>
            <w:vAlign w:val="bottom"/>
            <w:tcBorders>
              <w:top w:val="single" w:sz="8" w:color="0000FF"/>
            </w:tcBorders>
          </w:tcPr>
          <w:p>
            <w:pPr>
              <w:ind w:left="360"/>
              <w:spacing w:after="0"/>
              <w:rPr>
                <w:sz w:val="20"/>
                <w:szCs w:val="20"/>
                <w:color w:val="auto"/>
              </w:rPr>
            </w:pPr>
            <w:r>
              <w:rPr>
                <w:rFonts w:ascii="Arial" w:cs="Arial" w:eastAsia="Arial" w:hAnsi="Arial"/>
                <w:sz w:val="18"/>
                <w:szCs w:val="18"/>
                <w:color w:val="auto"/>
              </w:rPr>
              <w:t>Rover</w:t>
            </w:r>
          </w:p>
        </w:tc>
        <w:tc>
          <w:tcPr>
            <w:tcW w:w="1600" w:type="dxa"/>
            <w:vAlign w:val="bottom"/>
          </w:tcPr>
          <w:p>
            <w:pPr>
              <w:spacing w:after="0"/>
              <w:rPr>
                <w:sz w:val="24"/>
                <w:szCs w:val="24"/>
                <w:color w:val="auto"/>
              </w:rPr>
            </w:pPr>
          </w:p>
        </w:tc>
        <w:tc>
          <w:tcPr>
            <w:tcW w:w="7040" w:type="dxa"/>
            <w:vAlign w:val="bottom"/>
            <w:gridSpan w:val="2"/>
          </w:tcPr>
          <w:p>
            <w:pPr>
              <w:ind w:left="440"/>
              <w:spacing w:after="0"/>
              <w:rPr>
                <w:sz w:val="20"/>
                <w:szCs w:val="20"/>
                <w:color w:val="auto"/>
              </w:rPr>
            </w:pPr>
            <w:r>
              <w:rPr>
                <w:rFonts w:ascii="Arial" w:cs="Arial" w:eastAsia="Arial" w:hAnsi="Arial"/>
                <w:sz w:val="18"/>
                <w:szCs w:val="18"/>
                <w:color w:val="auto"/>
              </w:rPr>
              <w:t>Rover Pipeline LLC</w:t>
            </w:r>
          </w:p>
        </w:tc>
      </w:tr>
      <w:tr>
        <w:trPr>
          <w:trHeight w:val="283"/>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SEC</w:t>
            </w:r>
          </w:p>
        </w:tc>
        <w:tc>
          <w:tcPr>
            <w:tcW w:w="7040" w:type="dxa"/>
            <w:vAlign w:val="bottom"/>
            <w:gridSpan w:val="2"/>
          </w:tcPr>
          <w:p>
            <w:pPr>
              <w:ind w:left="440"/>
              <w:spacing w:after="0"/>
              <w:rPr>
                <w:sz w:val="20"/>
                <w:szCs w:val="20"/>
                <w:color w:val="auto"/>
              </w:rPr>
            </w:pPr>
            <w:r>
              <w:rPr>
                <w:rFonts w:ascii="Arial" w:cs="Arial" w:eastAsia="Arial" w:hAnsi="Arial"/>
                <w:sz w:val="18"/>
                <w:szCs w:val="18"/>
                <w:color w:val="auto"/>
              </w:rPr>
              <w:t>Securities and Exchange Commission</w:t>
            </w:r>
          </w:p>
        </w:tc>
      </w:tr>
      <w:tr>
        <w:trPr>
          <w:trHeight w:val="283"/>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Series A Preferred Units</w:t>
            </w:r>
          </w:p>
        </w:tc>
        <w:tc>
          <w:tcPr>
            <w:tcW w:w="1020" w:type="dxa"/>
            <w:vAlign w:val="bottom"/>
          </w:tcPr>
          <w:p>
            <w:pPr>
              <w:ind w:left="440"/>
              <w:spacing w:after="0"/>
              <w:rPr>
                <w:sz w:val="20"/>
                <w:szCs w:val="20"/>
                <w:color w:val="auto"/>
              </w:rPr>
            </w:pPr>
            <w:r>
              <w:rPr>
                <w:rFonts w:ascii="Arial" w:cs="Arial" w:eastAsia="Arial" w:hAnsi="Arial"/>
                <w:sz w:val="18"/>
                <w:szCs w:val="18"/>
                <w:color w:val="auto"/>
                <w:w w:val="91"/>
              </w:rPr>
              <w:t>6.250%</w:t>
            </w:r>
          </w:p>
        </w:tc>
        <w:tc>
          <w:tcPr>
            <w:tcW w:w="6020" w:type="dxa"/>
            <w:vAlign w:val="bottom"/>
          </w:tcPr>
          <w:p>
            <w:pPr>
              <w:ind w:left="20"/>
              <w:spacing w:after="0"/>
              <w:rPr>
                <w:sz w:val="20"/>
                <w:szCs w:val="20"/>
                <w:color w:val="auto"/>
              </w:rPr>
            </w:pPr>
            <w:r>
              <w:rPr>
                <w:rFonts w:ascii="Arial" w:cs="Arial" w:eastAsia="Arial" w:hAnsi="Arial"/>
                <w:sz w:val="18"/>
                <w:szCs w:val="18"/>
                <w:color w:val="auto"/>
                <w:w w:val="90"/>
              </w:rPr>
              <w:t>Series A Fixed-to-Floating Rate Cumulative Redeemable Perpetual Preferred Units</w:t>
            </w:r>
          </w:p>
        </w:tc>
      </w:tr>
      <w:tr>
        <w:trPr>
          <w:trHeight w:val="283"/>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Series B Preferred Units</w:t>
            </w:r>
          </w:p>
        </w:tc>
        <w:tc>
          <w:tcPr>
            <w:tcW w:w="1020" w:type="dxa"/>
            <w:vAlign w:val="bottom"/>
          </w:tcPr>
          <w:p>
            <w:pPr>
              <w:ind w:left="440"/>
              <w:spacing w:after="0"/>
              <w:rPr>
                <w:sz w:val="20"/>
                <w:szCs w:val="20"/>
                <w:color w:val="auto"/>
              </w:rPr>
            </w:pPr>
            <w:r>
              <w:rPr>
                <w:rFonts w:ascii="Arial" w:cs="Arial" w:eastAsia="Arial" w:hAnsi="Arial"/>
                <w:sz w:val="18"/>
                <w:szCs w:val="18"/>
                <w:color w:val="auto"/>
                <w:w w:val="91"/>
              </w:rPr>
              <w:t>6.625%</w:t>
            </w:r>
          </w:p>
        </w:tc>
        <w:tc>
          <w:tcPr>
            <w:tcW w:w="6020" w:type="dxa"/>
            <w:vAlign w:val="bottom"/>
          </w:tcPr>
          <w:p>
            <w:pPr>
              <w:ind w:left="20"/>
              <w:spacing w:after="0"/>
              <w:rPr>
                <w:sz w:val="20"/>
                <w:szCs w:val="20"/>
                <w:color w:val="auto"/>
              </w:rPr>
            </w:pPr>
            <w:r>
              <w:rPr>
                <w:rFonts w:ascii="Arial" w:cs="Arial" w:eastAsia="Arial" w:hAnsi="Arial"/>
                <w:sz w:val="18"/>
                <w:szCs w:val="18"/>
                <w:color w:val="auto"/>
                <w:w w:val="90"/>
              </w:rPr>
              <w:t>Series B Fixed-to-Floating Rate Cumulative Redeemable Perpetual Preferred Units</w:t>
            </w:r>
          </w:p>
        </w:tc>
      </w:tr>
      <w:tr>
        <w:trPr>
          <w:trHeight w:val="283"/>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Series C Preferred Units</w:t>
            </w:r>
          </w:p>
        </w:tc>
        <w:tc>
          <w:tcPr>
            <w:tcW w:w="1020" w:type="dxa"/>
            <w:vAlign w:val="bottom"/>
          </w:tcPr>
          <w:p>
            <w:pPr>
              <w:ind w:left="440"/>
              <w:spacing w:after="0"/>
              <w:rPr>
                <w:sz w:val="20"/>
                <w:szCs w:val="20"/>
                <w:color w:val="auto"/>
              </w:rPr>
            </w:pPr>
            <w:r>
              <w:rPr>
                <w:rFonts w:ascii="Arial" w:cs="Arial" w:eastAsia="Arial" w:hAnsi="Arial"/>
                <w:sz w:val="18"/>
                <w:szCs w:val="18"/>
                <w:color w:val="auto"/>
                <w:w w:val="91"/>
              </w:rPr>
              <w:t>7.375%</w:t>
            </w:r>
          </w:p>
        </w:tc>
        <w:tc>
          <w:tcPr>
            <w:tcW w:w="6020" w:type="dxa"/>
            <w:vAlign w:val="bottom"/>
          </w:tcPr>
          <w:p>
            <w:pPr>
              <w:ind w:left="20"/>
              <w:spacing w:after="0"/>
              <w:rPr>
                <w:sz w:val="20"/>
                <w:szCs w:val="20"/>
                <w:color w:val="auto"/>
              </w:rPr>
            </w:pPr>
            <w:r>
              <w:rPr>
                <w:rFonts w:ascii="Arial" w:cs="Arial" w:eastAsia="Arial" w:hAnsi="Arial"/>
                <w:sz w:val="18"/>
                <w:szCs w:val="18"/>
                <w:color w:val="auto"/>
                <w:w w:val="90"/>
              </w:rPr>
              <w:t>Series C Fixed-to-Floating Rate Cumulative Redeemable Perpetual Preferred Units</w:t>
            </w:r>
          </w:p>
        </w:tc>
      </w:tr>
      <w:tr>
        <w:trPr>
          <w:trHeight w:val="284"/>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Series D Preferred Units</w:t>
            </w:r>
          </w:p>
        </w:tc>
        <w:tc>
          <w:tcPr>
            <w:tcW w:w="1020" w:type="dxa"/>
            <w:vAlign w:val="bottom"/>
          </w:tcPr>
          <w:p>
            <w:pPr>
              <w:ind w:left="440"/>
              <w:spacing w:after="0"/>
              <w:rPr>
                <w:sz w:val="20"/>
                <w:szCs w:val="20"/>
                <w:color w:val="auto"/>
              </w:rPr>
            </w:pPr>
            <w:r>
              <w:rPr>
                <w:rFonts w:ascii="Arial" w:cs="Arial" w:eastAsia="Arial" w:hAnsi="Arial"/>
                <w:sz w:val="18"/>
                <w:szCs w:val="18"/>
                <w:color w:val="auto"/>
                <w:w w:val="91"/>
              </w:rPr>
              <w:t>7.625%</w:t>
            </w:r>
          </w:p>
        </w:tc>
        <w:tc>
          <w:tcPr>
            <w:tcW w:w="6020" w:type="dxa"/>
            <w:vAlign w:val="bottom"/>
          </w:tcPr>
          <w:p>
            <w:pPr>
              <w:ind w:left="20"/>
              <w:spacing w:after="0"/>
              <w:rPr>
                <w:sz w:val="20"/>
                <w:szCs w:val="20"/>
                <w:color w:val="auto"/>
              </w:rPr>
            </w:pPr>
            <w:r>
              <w:rPr>
                <w:rFonts w:ascii="Arial" w:cs="Arial" w:eastAsia="Arial" w:hAnsi="Arial"/>
                <w:sz w:val="18"/>
                <w:szCs w:val="18"/>
                <w:color w:val="auto"/>
                <w:w w:val="90"/>
              </w:rPr>
              <w:t>Series D Fixed-to-Floating Rate Cumulative Redeemable Perpetual Preferred Units</w:t>
            </w:r>
          </w:p>
        </w:tc>
      </w:tr>
      <w:tr>
        <w:trPr>
          <w:trHeight w:val="283"/>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Series E Preferred Units</w:t>
            </w:r>
          </w:p>
        </w:tc>
        <w:tc>
          <w:tcPr>
            <w:tcW w:w="1020" w:type="dxa"/>
            <w:vAlign w:val="bottom"/>
          </w:tcPr>
          <w:p>
            <w:pPr>
              <w:ind w:left="440"/>
              <w:spacing w:after="0"/>
              <w:rPr>
                <w:sz w:val="20"/>
                <w:szCs w:val="20"/>
                <w:color w:val="auto"/>
              </w:rPr>
            </w:pPr>
            <w:r>
              <w:rPr>
                <w:rFonts w:ascii="Arial" w:cs="Arial" w:eastAsia="Arial" w:hAnsi="Arial"/>
                <w:sz w:val="18"/>
                <w:szCs w:val="18"/>
                <w:color w:val="auto"/>
                <w:w w:val="91"/>
              </w:rPr>
              <w:t>7.600%</w:t>
            </w:r>
          </w:p>
        </w:tc>
        <w:tc>
          <w:tcPr>
            <w:tcW w:w="6020" w:type="dxa"/>
            <w:vAlign w:val="bottom"/>
          </w:tcPr>
          <w:p>
            <w:pPr>
              <w:ind w:left="20"/>
              <w:spacing w:after="0"/>
              <w:rPr>
                <w:sz w:val="20"/>
                <w:szCs w:val="20"/>
                <w:color w:val="auto"/>
              </w:rPr>
            </w:pPr>
            <w:r>
              <w:rPr>
                <w:rFonts w:ascii="Arial" w:cs="Arial" w:eastAsia="Arial" w:hAnsi="Arial"/>
                <w:sz w:val="18"/>
                <w:szCs w:val="18"/>
                <w:color w:val="auto"/>
                <w:w w:val="90"/>
              </w:rPr>
              <w:t>Series E Fixed-to-Floating Rate Cumulative Redeemable Perpetual Preferred Units</w:t>
            </w:r>
          </w:p>
        </w:tc>
      </w:tr>
      <w:tr>
        <w:trPr>
          <w:trHeight w:val="283"/>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Series F Preferred Units</w:t>
            </w:r>
          </w:p>
        </w:tc>
        <w:tc>
          <w:tcPr>
            <w:tcW w:w="1020" w:type="dxa"/>
            <w:vAlign w:val="bottom"/>
          </w:tcPr>
          <w:p>
            <w:pPr>
              <w:ind w:left="440"/>
              <w:spacing w:after="0"/>
              <w:rPr>
                <w:sz w:val="20"/>
                <w:szCs w:val="20"/>
                <w:color w:val="auto"/>
              </w:rPr>
            </w:pPr>
            <w:r>
              <w:rPr>
                <w:rFonts w:ascii="Arial" w:cs="Arial" w:eastAsia="Arial" w:hAnsi="Arial"/>
                <w:sz w:val="18"/>
                <w:szCs w:val="18"/>
                <w:color w:val="auto"/>
                <w:w w:val="91"/>
              </w:rPr>
              <w:t>6.750%</w:t>
            </w:r>
          </w:p>
        </w:tc>
        <w:tc>
          <w:tcPr>
            <w:tcW w:w="6020" w:type="dxa"/>
            <w:vAlign w:val="bottom"/>
          </w:tcPr>
          <w:p>
            <w:pPr>
              <w:ind w:left="20"/>
              <w:spacing w:after="0"/>
              <w:rPr>
                <w:sz w:val="20"/>
                <w:szCs w:val="20"/>
                <w:color w:val="auto"/>
              </w:rPr>
            </w:pPr>
            <w:r>
              <w:rPr>
                <w:rFonts w:ascii="Arial" w:cs="Arial" w:eastAsia="Arial" w:hAnsi="Arial"/>
                <w:sz w:val="18"/>
                <w:szCs w:val="18"/>
                <w:color w:val="auto"/>
                <w:w w:val="96"/>
              </w:rPr>
              <w:t>Series F Fixed-Rate Reset Cumulative Redeemable Perpetual Preferred Units</w:t>
            </w:r>
          </w:p>
        </w:tc>
      </w:tr>
      <w:tr>
        <w:trPr>
          <w:trHeight w:val="283"/>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Series G Preferred Units</w:t>
            </w:r>
          </w:p>
        </w:tc>
        <w:tc>
          <w:tcPr>
            <w:tcW w:w="1020" w:type="dxa"/>
            <w:vAlign w:val="bottom"/>
          </w:tcPr>
          <w:p>
            <w:pPr>
              <w:ind w:left="440"/>
              <w:spacing w:after="0"/>
              <w:rPr>
                <w:sz w:val="20"/>
                <w:szCs w:val="20"/>
                <w:color w:val="auto"/>
              </w:rPr>
            </w:pPr>
            <w:r>
              <w:rPr>
                <w:rFonts w:ascii="Arial" w:cs="Arial" w:eastAsia="Arial" w:hAnsi="Arial"/>
                <w:sz w:val="18"/>
                <w:szCs w:val="18"/>
                <w:color w:val="auto"/>
                <w:w w:val="91"/>
              </w:rPr>
              <w:t>7.125%</w:t>
            </w:r>
          </w:p>
        </w:tc>
        <w:tc>
          <w:tcPr>
            <w:tcW w:w="6020" w:type="dxa"/>
            <w:vAlign w:val="bottom"/>
          </w:tcPr>
          <w:p>
            <w:pPr>
              <w:ind w:left="20"/>
              <w:spacing w:after="0"/>
              <w:rPr>
                <w:sz w:val="20"/>
                <w:szCs w:val="20"/>
                <w:color w:val="auto"/>
              </w:rPr>
            </w:pPr>
            <w:r>
              <w:rPr>
                <w:rFonts w:ascii="Arial" w:cs="Arial" w:eastAsia="Arial" w:hAnsi="Arial"/>
                <w:sz w:val="18"/>
                <w:szCs w:val="18"/>
                <w:color w:val="auto"/>
                <w:w w:val="95"/>
              </w:rPr>
              <w:t>Series G Fixed-Rate Reset Cumulative Redeemable Perpetual Preferred Units</w:t>
            </w:r>
          </w:p>
        </w:tc>
      </w:tr>
      <w:tr>
        <w:trPr>
          <w:trHeight w:val="283"/>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Sunoco Logistics Operations</w:t>
            </w:r>
          </w:p>
        </w:tc>
        <w:tc>
          <w:tcPr>
            <w:tcW w:w="7040" w:type="dxa"/>
            <w:vAlign w:val="bottom"/>
            <w:gridSpan w:val="2"/>
          </w:tcPr>
          <w:p>
            <w:pPr>
              <w:ind w:left="440"/>
              <w:spacing w:after="0"/>
              <w:rPr>
                <w:sz w:val="20"/>
                <w:szCs w:val="20"/>
                <w:color w:val="auto"/>
              </w:rPr>
            </w:pPr>
            <w:r>
              <w:rPr>
                <w:rFonts w:ascii="Arial" w:cs="Arial" w:eastAsia="Arial" w:hAnsi="Arial"/>
                <w:sz w:val="18"/>
                <w:szCs w:val="18"/>
                <w:color w:val="auto"/>
              </w:rPr>
              <w:t>Sunoco Logistics Partners Operations L.P, a wholly-owned subsidiary of ET</w:t>
            </w:r>
          </w:p>
        </w:tc>
      </w:tr>
      <w:tr>
        <w:trPr>
          <w:trHeight w:val="283"/>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Sunoco R&amp;M</w:t>
            </w:r>
          </w:p>
        </w:tc>
        <w:tc>
          <w:tcPr>
            <w:tcW w:w="7040" w:type="dxa"/>
            <w:vAlign w:val="bottom"/>
            <w:gridSpan w:val="2"/>
          </w:tcPr>
          <w:p>
            <w:pPr>
              <w:ind w:left="440"/>
              <w:spacing w:after="0"/>
              <w:rPr>
                <w:sz w:val="20"/>
                <w:szCs w:val="20"/>
                <w:color w:val="auto"/>
              </w:rPr>
            </w:pPr>
            <w:r>
              <w:rPr>
                <w:rFonts w:ascii="Arial" w:cs="Arial" w:eastAsia="Arial" w:hAnsi="Arial"/>
                <w:sz w:val="18"/>
                <w:szCs w:val="18"/>
                <w:color w:val="auto"/>
              </w:rPr>
              <w:t>Sunoco (R&amp;M), LLC (formerly Sunoco, Inc. (R&amp;M))</w:t>
            </w:r>
          </w:p>
        </w:tc>
      </w:tr>
      <w:tr>
        <w:trPr>
          <w:trHeight w:val="284"/>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Transwestern</w:t>
            </w:r>
          </w:p>
        </w:tc>
        <w:tc>
          <w:tcPr>
            <w:tcW w:w="7040" w:type="dxa"/>
            <w:vAlign w:val="bottom"/>
            <w:gridSpan w:val="2"/>
          </w:tcPr>
          <w:p>
            <w:pPr>
              <w:ind w:left="440"/>
              <w:spacing w:after="0"/>
              <w:rPr>
                <w:sz w:val="20"/>
                <w:szCs w:val="20"/>
                <w:color w:val="auto"/>
              </w:rPr>
            </w:pPr>
            <w:r>
              <w:rPr>
                <w:rFonts w:ascii="Arial" w:cs="Arial" w:eastAsia="Arial" w:hAnsi="Arial"/>
                <w:sz w:val="18"/>
                <w:szCs w:val="18"/>
                <w:color w:val="auto"/>
              </w:rPr>
              <w:t>Transwestern Pipeline Company, LLC, a wholly-owned subsidiary of ET</w:t>
            </w:r>
          </w:p>
        </w:tc>
      </w:tr>
      <w:tr>
        <w:trPr>
          <w:trHeight w:val="283"/>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Trunkline</w:t>
            </w:r>
          </w:p>
        </w:tc>
        <w:tc>
          <w:tcPr>
            <w:tcW w:w="7040" w:type="dxa"/>
            <w:vAlign w:val="bottom"/>
            <w:gridSpan w:val="2"/>
          </w:tcPr>
          <w:p>
            <w:pPr>
              <w:ind w:left="440"/>
              <w:spacing w:after="0"/>
              <w:rPr>
                <w:sz w:val="20"/>
                <w:szCs w:val="20"/>
                <w:color w:val="auto"/>
              </w:rPr>
            </w:pPr>
            <w:r>
              <w:rPr>
                <w:rFonts w:ascii="Arial" w:cs="Arial" w:eastAsia="Arial" w:hAnsi="Arial"/>
                <w:sz w:val="18"/>
                <w:szCs w:val="18"/>
                <w:color w:val="auto"/>
              </w:rPr>
              <w:t>Trunkline Gas Company, LLC, a wholly-owned subsidiary of Panhandle</w:t>
            </w:r>
          </w:p>
        </w:tc>
      </w:tr>
      <w:tr>
        <w:trPr>
          <w:trHeight w:val="283"/>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USAC</w:t>
            </w:r>
          </w:p>
        </w:tc>
        <w:tc>
          <w:tcPr>
            <w:tcW w:w="7040" w:type="dxa"/>
            <w:vAlign w:val="bottom"/>
            <w:gridSpan w:val="2"/>
          </w:tcPr>
          <w:p>
            <w:pPr>
              <w:ind w:left="440"/>
              <w:spacing w:after="0"/>
              <w:rPr>
                <w:sz w:val="20"/>
                <w:szCs w:val="20"/>
                <w:color w:val="auto"/>
              </w:rPr>
            </w:pPr>
            <w:r>
              <w:rPr>
                <w:rFonts w:ascii="Arial" w:cs="Arial" w:eastAsia="Arial" w:hAnsi="Arial"/>
                <w:sz w:val="18"/>
                <w:szCs w:val="18"/>
                <w:color w:val="auto"/>
              </w:rPr>
              <w:t>USA Compression Partners, LP, a subsidiary of ET</w:t>
            </w:r>
          </w:p>
        </w:tc>
      </w:tr>
      <w:tr>
        <w:trPr>
          <w:trHeight w:val="283"/>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USAC Preferred Units</w:t>
            </w:r>
          </w:p>
        </w:tc>
        <w:tc>
          <w:tcPr>
            <w:tcW w:w="7040" w:type="dxa"/>
            <w:vAlign w:val="bottom"/>
            <w:gridSpan w:val="2"/>
          </w:tcPr>
          <w:p>
            <w:pPr>
              <w:ind w:left="440"/>
              <w:spacing w:after="0"/>
              <w:rPr>
                <w:sz w:val="20"/>
                <w:szCs w:val="20"/>
                <w:color w:val="auto"/>
              </w:rPr>
            </w:pPr>
            <w:r>
              <w:rPr>
                <w:rFonts w:ascii="Arial" w:cs="Arial" w:eastAsia="Arial" w:hAnsi="Arial"/>
                <w:sz w:val="18"/>
                <w:szCs w:val="18"/>
                <w:color w:val="auto"/>
              </w:rPr>
              <w:t>USAC Series A preferred units</w:t>
            </w:r>
          </w:p>
        </w:tc>
      </w:tr>
      <w:tr>
        <w:trPr>
          <w:trHeight w:val="283"/>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White Cliffs</w:t>
            </w:r>
          </w:p>
        </w:tc>
        <w:tc>
          <w:tcPr>
            <w:tcW w:w="7040" w:type="dxa"/>
            <w:vAlign w:val="bottom"/>
            <w:gridSpan w:val="2"/>
          </w:tcPr>
          <w:p>
            <w:pPr>
              <w:ind w:left="440"/>
              <w:spacing w:after="0"/>
              <w:rPr>
                <w:sz w:val="20"/>
                <w:szCs w:val="20"/>
                <w:color w:val="auto"/>
              </w:rPr>
            </w:pPr>
            <w:r>
              <w:rPr>
                <w:rFonts w:ascii="Arial" w:cs="Arial" w:eastAsia="Arial" w:hAnsi="Arial"/>
                <w:sz w:val="18"/>
                <w:szCs w:val="18"/>
                <w:color w:val="auto"/>
              </w:rPr>
              <w:t>White Cliffs Pipeline,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16" w:right="1440"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2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right="1320"/>
        <w:spacing w:after="0" w:line="319" w:lineRule="auto"/>
        <w:rPr>
          <w:sz w:val="20"/>
          <w:szCs w:val="20"/>
          <w:color w:val="auto"/>
        </w:rPr>
      </w:pPr>
      <w:r>
        <w:rPr>
          <w:rFonts w:ascii="Arial" w:cs="Arial" w:eastAsia="Arial" w:hAnsi="Arial"/>
          <w:sz w:val="15"/>
          <w:szCs w:val="15"/>
          <w:color w:val="auto"/>
        </w:rPr>
        <w:t>Cash and cash equivalents Accounts receivable, net</w:t>
      </w:r>
    </w:p>
    <w:p>
      <w:pPr>
        <w:ind w:left="180"/>
        <w:spacing w:after="0" w:line="266" w:lineRule="auto"/>
        <w:rPr>
          <w:sz w:val="20"/>
          <w:szCs w:val="20"/>
          <w:color w:val="auto"/>
        </w:rPr>
      </w:pPr>
      <w:r>
        <w:rPr>
          <w:rFonts w:ascii="Arial" w:cs="Arial" w:eastAsia="Arial" w:hAnsi="Arial"/>
          <w:sz w:val="18"/>
          <w:szCs w:val="18"/>
          <w:color w:val="auto"/>
        </w:rPr>
        <w:t>Accounts receivable from related companies Inventories</w:t>
      </w:r>
    </w:p>
    <w:p>
      <w:pPr>
        <w:ind w:left="180"/>
        <w:spacing w:after="0"/>
        <w:rPr>
          <w:sz w:val="20"/>
          <w:szCs w:val="20"/>
          <w:color w:val="auto"/>
        </w:rPr>
      </w:pPr>
      <w:r>
        <w:rPr>
          <w:rFonts w:ascii="Arial" w:cs="Arial" w:eastAsia="Arial" w:hAnsi="Arial"/>
          <w:sz w:val="18"/>
          <w:szCs w:val="18"/>
          <w:color w:val="auto"/>
        </w:rPr>
        <w:t>Income taxes receivable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Derivative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assets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current assets</w:t>
      </w:r>
    </w:p>
    <w:p>
      <w:pPr>
        <w:spacing w:after="0" w:line="293" w:lineRule="exact"/>
        <w:rPr>
          <w:sz w:val="20"/>
          <w:szCs w:val="20"/>
          <w:color w:val="auto"/>
        </w:rPr>
      </w:pPr>
    </w:p>
    <w:p>
      <w:pPr>
        <w:ind w:left="20" w:right="460"/>
        <w:spacing w:after="0" w:line="359" w:lineRule="auto"/>
        <w:rPr>
          <w:sz w:val="20"/>
          <w:szCs w:val="20"/>
          <w:color w:val="auto"/>
        </w:rPr>
      </w:pPr>
      <w:r>
        <w:rPr>
          <w:rFonts w:ascii="Arial" w:cs="Arial" w:eastAsia="Arial" w:hAnsi="Arial"/>
          <w:sz w:val="16"/>
          <w:szCs w:val="16"/>
          <w:color w:val="auto"/>
        </w:rPr>
        <w:t>Property, plant and equipment Accumulated depreciation and depletion</w:t>
      </w:r>
    </w:p>
    <w:p>
      <w:pPr>
        <w:spacing w:after="0" w:line="200" w:lineRule="exact"/>
        <w:rPr>
          <w:sz w:val="20"/>
          <w:szCs w:val="20"/>
          <w:color w:val="auto"/>
        </w:rPr>
      </w:pPr>
    </w:p>
    <w:p>
      <w:pPr>
        <w:spacing w:after="0" w:line="222" w:lineRule="exact"/>
        <w:rPr>
          <w:sz w:val="20"/>
          <w:szCs w:val="20"/>
          <w:color w:val="auto"/>
        </w:rPr>
      </w:pPr>
    </w:p>
    <w:p>
      <w:pPr>
        <w:ind w:left="20" w:right="520"/>
        <w:spacing w:after="0" w:line="299" w:lineRule="auto"/>
        <w:rPr>
          <w:sz w:val="20"/>
          <w:szCs w:val="20"/>
          <w:color w:val="auto"/>
        </w:rPr>
      </w:pPr>
      <w:r>
        <w:rPr>
          <w:rFonts w:ascii="Arial" w:cs="Arial" w:eastAsia="Arial" w:hAnsi="Arial"/>
          <w:sz w:val="16"/>
          <w:szCs w:val="16"/>
          <w:color w:val="auto"/>
        </w:rPr>
        <w:t>Investments in unconsolidated affiliates Lease right-of-use assets, net</w:t>
      </w:r>
    </w:p>
    <w:p>
      <w:pPr>
        <w:spacing w:after="0" w:line="1" w:lineRule="exact"/>
        <w:rPr>
          <w:sz w:val="20"/>
          <w:szCs w:val="20"/>
          <w:color w:val="auto"/>
        </w:rPr>
      </w:pPr>
    </w:p>
    <w:p>
      <w:pPr>
        <w:ind w:left="20" w:right="1300"/>
        <w:spacing w:after="0" w:line="279" w:lineRule="auto"/>
        <w:rPr>
          <w:sz w:val="20"/>
          <w:szCs w:val="20"/>
          <w:color w:val="auto"/>
        </w:rPr>
      </w:pPr>
      <w:r>
        <w:rPr>
          <w:rFonts w:ascii="Arial" w:cs="Arial" w:eastAsia="Arial" w:hAnsi="Arial"/>
          <w:sz w:val="18"/>
          <w:szCs w:val="18"/>
          <w:color w:val="auto"/>
        </w:rPr>
        <w:t>Other non-current assets, net Intangible assets, net Goodwill</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3700"/>
        <w:spacing w:after="0"/>
        <w:rPr>
          <w:sz w:val="20"/>
          <w:szCs w:val="20"/>
          <w:color w:val="auto"/>
        </w:rPr>
      </w:pPr>
      <w:r>
        <w:rPr>
          <w:rFonts w:ascii="Arial" w:cs="Arial" w:eastAsia="Arial" w:hAnsi="Arial"/>
          <w:sz w:val="17"/>
          <w:szCs w:val="17"/>
          <w:b w:val="1"/>
          <w:bCs w:val="1"/>
          <w:u w:val="single" w:color="auto"/>
          <w:color w:val="auto"/>
        </w:rPr>
        <w:t>ENERGY TRANSFER LP AND SUBSIDIARIES</w:t>
      </w:r>
    </w:p>
    <w:p>
      <w:pPr>
        <w:spacing w:after="0" w:line="21" w:lineRule="exact"/>
        <w:rPr>
          <w:sz w:val="20"/>
          <w:szCs w:val="20"/>
          <w:color w:val="auto"/>
        </w:rPr>
      </w:pPr>
    </w:p>
    <w:p>
      <w:pPr>
        <w:jc w:val="center"/>
        <w:ind w:right="3700"/>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3700"/>
        <w:spacing w:after="0"/>
        <w:rPr>
          <w:sz w:val="20"/>
          <w:szCs w:val="20"/>
          <w:color w:val="auto"/>
        </w:rPr>
      </w:pPr>
      <w:r>
        <w:rPr>
          <w:rFonts w:ascii="Arial" w:cs="Arial" w:eastAsia="Arial" w:hAnsi="Arial"/>
          <w:sz w:val="18"/>
          <w:szCs w:val="18"/>
          <w:color w:val="auto"/>
        </w:rPr>
        <w:t>(Dollars in millions)</w:t>
      </w:r>
    </w:p>
    <w:p>
      <w:pPr>
        <w:spacing w:after="0" w:line="9" w:lineRule="exact"/>
        <w:rPr>
          <w:sz w:val="20"/>
          <w:szCs w:val="20"/>
          <w:color w:val="auto"/>
        </w:rPr>
      </w:pPr>
    </w:p>
    <w:p>
      <w:pPr>
        <w:jc w:val="center"/>
        <w:ind w:right="3700"/>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17"/>
                <w:szCs w:val="17"/>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29"/>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46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4"/>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498"/>
        </w:trPr>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94,672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94,115</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(19,008)</w:t>
            </w:r>
          </w:p>
        </w:tc>
        <w:tc>
          <w:tcPr>
            <w:tcW w:w="0" w:type="dxa"/>
            <w:vAlign w:val="bottom"/>
          </w:tcPr>
          <w:p>
            <w:pPr>
              <w:spacing w:after="0"/>
              <w:rPr>
                <w:sz w:val="1"/>
                <w:szCs w:val="1"/>
                <w:color w:val="auto"/>
              </w:rPr>
            </w:pPr>
          </w:p>
        </w:tc>
      </w:tr>
      <w:tr>
        <w:trPr>
          <w:trHeight w:val="224"/>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74,804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75,107</w:t>
            </w:r>
          </w:p>
        </w:tc>
        <w:tc>
          <w:tcPr>
            <w:tcW w:w="0" w:type="dxa"/>
            <w:vAlign w:val="bottom"/>
          </w:tcPr>
          <w:p>
            <w:pPr>
              <w:spacing w:after="0"/>
              <w:rPr>
                <w:sz w:val="1"/>
                <w:szCs w:val="1"/>
                <w:color w:val="auto"/>
              </w:rPr>
            </w:pPr>
          </w:p>
        </w:tc>
      </w:tr>
      <w:tr>
        <w:trPr>
          <w:trHeight w:val="498"/>
        </w:trPr>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95,144</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-2879725</wp:posOffset>
            </wp:positionV>
            <wp:extent cx="711517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-2588260</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-2296795</wp:posOffset>
            </wp:positionV>
            <wp:extent cx="71151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-2005330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-1704975</wp:posOffset>
            </wp:positionV>
            <wp:extent cx="71151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-1388110</wp:posOffset>
            </wp:positionV>
            <wp:extent cx="71151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-1088390</wp:posOffset>
            </wp:positionV>
            <wp:extent cx="71151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-770890</wp:posOffset>
            </wp:positionV>
            <wp:extent cx="71151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-479425</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-187960</wp:posOffset>
            </wp:positionV>
            <wp:extent cx="7115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320"/>
            <w:col w:w="7500"/>
          </w:cols>
          <w:pgMar w:left="320" w:top="233" w:right="35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240" w:type="dxa"/>
            <w:vAlign w:val="bottom"/>
            <w:gridSpan w:val="6"/>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6960" w:type="dxa"/>
            <w:vAlign w:val="bottom"/>
            <w:gridSpan w:val="5"/>
          </w:tcPr>
          <w:p>
            <w:pPr>
              <w:jc w:val="center"/>
              <w:ind w:left="1630"/>
              <w:spacing w:after="0"/>
              <w:rPr>
                <w:sz w:val="20"/>
                <w:szCs w:val="20"/>
                <w:color w:val="auto"/>
              </w:rPr>
            </w:pPr>
            <w:r>
              <w:rPr>
                <w:rFonts w:ascii="Arial" w:cs="Arial" w:eastAsia="Arial" w:hAnsi="Arial"/>
                <w:sz w:val="18"/>
                <w:szCs w:val="18"/>
                <w:b w:val="1"/>
                <w:bCs w:val="1"/>
                <w:color w:val="auto"/>
                <w:w w:val="98"/>
              </w:rPr>
              <w:t>ENERGY TRANSFER LP AND SUBSIDIARIES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gridSpan w:val="2"/>
          </w:tcPr>
          <w:p>
            <w:pPr>
              <w:jc w:val="center"/>
              <w:ind w:right="340"/>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(Dollars in million)</w:t>
            </w:r>
          </w:p>
        </w:tc>
        <w:tc>
          <w:tcPr>
            <w:tcW w:w="10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80" w:type="dxa"/>
            <w:vAlign w:val="bottom"/>
            <w:gridSpan w:val="3"/>
          </w:tcPr>
          <w:p>
            <w:pPr>
              <w:jc w:val="center"/>
              <w:ind w:right="106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6960" w:type="dxa"/>
            <w:vAlign w:val="bottom"/>
            <w:gridSpan w:val="5"/>
            <w:vMerge w:val="restart"/>
          </w:tcPr>
          <w:p>
            <w:pPr>
              <w:ind w:left="170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960" w:type="dxa"/>
            <w:vAlign w:val="bottom"/>
            <w:gridSpan w:val="5"/>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6"/>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30"/>
        </w:trPr>
        <w:tc>
          <w:tcPr>
            <w:tcW w:w="8240" w:type="dxa"/>
            <w:vAlign w:val="bottom"/>
            <w:gridSpan w:val="6"/>
          </w:tcPr>
          <w:p>
            <w:pPr>
              <w:ind w:left="180"/>
              <w:spacing w:after="0"/>
              <w:rPr>
                <w:sz w:val="20"/>
                <w:szCs w:val="20"/>
                <w:color w:val="auto"/>
              </w:rPr>
            </w:pPr>
            <w:r>
              <w:rPr>
                <w:rFonts w:ascii="Arial" w:cs="Arial" w:eastAsia="Arial" w:hAnsi="Arial"/>
                <w:sz w:val="18"/>
                <w:szCs w:val="18"/>
                <w:color w:val="auto"/>
              </w:rPr>
              <w:t>Accounts payable to related companies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82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Derivative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8240" w:type="dxa"/>
            <w:vAlign w:val="bottom"/>
            <w:gridSpan w:val="6"/>
          </w:tcPr>
          <w:p>
            <w:pPr>
              <w:ind w:left="180"/>
              <w:spacing w:after="0"/>
              <w:rPr>
                <w:sz w:val="20"/>
                <w:szCs w:val="20"/>
                <w:color w:val="auto"/>
              </w:rPr>
            </w:pPr>
            <w:r>
              <w:rPr>
                <w:rFonts w:ascii="Arial" w:cs="Arial" w:eastAsia="Arial" w:hAnsi="Arial"/>
                <w:sz w:val="18"/>
                <w:szCs w:val="18"/>
                <w:color w:val="auto"/>
              </w:rPr>
              <w:t>Operating lease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82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gridSpan w:val="6"/>
          </w:tcPr>
          <w:p>
            <w:pPr>
              <w:ind w:left="18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824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70"/>
        </w:trPr>
        <w:tc>
          <w:tcPr>
            <w:tcW w:w="8240" w:type="dxa"/>
            <w:vAlign w:val="bottom"/>
            <w:gridSpan w:val="6"/>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51,417</w:t>
            </w:r>
          </w:p>
        </w:tc>
        <w:tc>
          <w:tcPr>
            <w:tcW w:w="0" w:type="dxa"/>
            <w:vAlign w:val="bottom"/>
          </w:tcPr>
          <w:p>
            <w:pPr>
              <w:spacing w:after="0"/>
              <w:rPr>
                <w:sz w:val="1"/>
                <w:szCs w:val="1"/>
                <w:color w:val="auto"/>
              </w:rPr>
            </w:pPr>
          </w:p>
        </w:tc>
      </w:tr>
      <w:tr>
        <w:trPr>
          <w:trHeight w:val="230"/>
        </w:trPr>
        <w:tc>
          <w:tcPr>
            <w:tcW w:w="8240" w:type="dxa"/>
            <w:vAlign w:val="bottom"/>
            <w:gridSpan w:val="6"/>
          </w:tcPr>
          <w:p>
            <w:pPr>
              <w:ind w:left="20"/>
              <w:spacing w:after="0"/>
              <w:rPr>
                <w:sz w:val="20"/>
                <w:szCs w:val="20"/>
                <w:color w:val="auto"/>
              </w:rPr>
            </w:pPr>
            <w:r>
              <w:rPr>
                <w:rFonts w:ascii="Arial" w:cs="Arial" w:eastAsia="Arial" w:hAnsi="Arial"/>
                <w:sz w:val="18"/>
                <w:szCs w:val="18"/>
                <w:color w:val="auto"/>
              </w:rPr>
              <w:t>Non-current derivative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82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9"/>
        </w:trPr>
        <w:tc>
          <w:tcPr>
            <w:tcW w:w="8240" w:type="dxa"/>
            <w:vAlign w:val="bottom"/>
            <w:gridSpan w:val="6"/>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30"/>
        </w:trPr>
        <w:tc>
          <w:tcPr>
            <w:tcW w:w="82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0"/>
        </w:trPr>
        <w:tc>
          <w:tcPr>
            <w:tcW w:w="8240" w:type="dxa"/>
            <w:vAlign w:val="bottom"/>
            <w:gridSpan w:val="6"/>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6"/>
          </w:tcPr>
          <w:p>
            <w:pPr>
              <w:ind w:left="2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0"/>
        </w:trPr>
        <w:tc>
          <w:tcPr>
            <w:tcW w:w="8240" w:type="dxa"/>
            <w:vAlign w:val="bottom"/>
            <w:gridSpan w:val="6"/>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gridSpan w:val="6"/>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Limited Partners: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6"/>
          </w:tcPr>
          <w:p>
            <w:pPr>
              <w:ind w:left="360"/>
              <w:spacing w:after="0"/>
              <w:rPr>
                <w:sz w:val="20"/>
                <w:szCs w:val="20"/>
                <w:color w:val="auto"/>
              </w:rPr>
            </w:pPr>
            <w:r>
              <w:rPr>
                <w:rFonts w:ascii="Arial" w:cs="Arial" w:eastAsia="Arial" w:hAnsi="Arial"/>
                <w:sz w:val="18"/>
                <w:szCs w:val="18"/>
                <w:color w:val="auto"/>
              </w:rPr>
              <w:t>Common Unitholders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18,531</w:t>
            </w:r>
          </w:p>
        </w:tc>
        <w:tc>
          <w:tcPr>
            <w:tcW w:w="0" w:type="dxa"/>
            <w:vAlign w:val="bottom"/>
          </w:tcPr>
          <w:p>
            <w:pPr>
              <w:spacing w:after="0"/>
              <w:rPr>
                <w:sz w:val="1"/>
                <w:szCs w:val="1"/>
                <w:color w:val="auto"/>
              </w:rPr>
            </w:pPr>
          </w:p>
        </w:tc>
      </w:tr>
      <w:tr>
        <w:trPr>
          <w:trHeight w:val="230"/>
        </w:trPr>
        <w:tc>
          <w:tcPr>
            <w:tcW w:w="82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6"/>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24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Total partners’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6"/>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12,859</w:t>
            </w:r>
          </w:p>
        </w:tc>
        <w:tc>
          <w:tcPr>
            <w:tcW w:w="0" w:type="dxa"/>
            <w:vAlign w:val="bottom"/>
          </w:tcPr>
          <w:p>
            <w:pPr>
              <w:spacing w:after="0"/>
              <w:rPr>
                <w:sz w:val="1"/>
                <w:szCs w:val="1"/>
                <w:color w:val="auto"/>
              </w:rPr>
            </w:pPr>
          </w:p>
        </w:tc>
      </w:tr>
      <w:tr>
        <w:trPr>
          <w:trHeight w:val="223"/>
        </w:trPr>
        <w:tc>
          <w:tcPr>
            <w:tcW w:w="824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31,388</w:t>
            </w:r>
          </w:p>
        </w:tc>
        <w:tc>
          <w:tcPr>
            <w:tcW w:w="0" w:type="dxa"/>
            <w:vAlign w:val="bottom"/>
          </w:tcPr>
          <w:p>
            <w:pPr>
              <w:spacing w:after="0"/>
              <w:rPr>
                <w:sz w:val="1"/>
                <w:szCs w:val="1"/>
                <w:color w:val="auto"/>
              </w:rPr>
            </w:pPr>
          </w:p>
        </w:tc>
      </w:tr>
      <w:tr>
        <w:trPr>
          <w:trHeight w:val="223"/>
        </w:trPr>
        <w:tc>
          <w:tcPr>
            <w:tcW w:w="8240" w:type="dxa"/>
            <w:vAlign w:val="bottom"/>
            <w:gridSpan w:val="6"/>
          </w:tcPr>
          <w:p>
            <w:pPr>
              <w:ind w:left="5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260" w:type="dxa"/>
            <w:vAlign w:val="bottom"/>
            <w:gridSpan w:val="6"/>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8"/>
              </w:rPr>
              <w:t>ENERGY TRANSFER LP AND SUBSIDIARIES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980" w:type="dxa"/>
            <w:vAlign w:val="bottom"/>
            <w:gridSpan w:val="5"/>
          </w:tcPr>
          <w:p>
            <w:pPr>
              <w:jc w:val="center"/>
              <w:ind w:left="1610"/>
              <w:spacing w:after="0" w:line="196" w:lineRule="exact"/>
              <w:rPr>
                <w:sz w:val="20"/>
                <w:szCs w:val="20"/>
                <w:color w:val="auto"/>
              </w:rPr>
            </w:pPr>
            <w:r>
              <w:rPr>
                <w:rFonts w:ascii="Arial" w:cs="Arial" w:eastAsia="Arial" w:hAnsi="Arial"/>
                <w:sz w:val="18"/>
                <w:szCs w:val="18"/>
                <w:b w:val="1"/>
                <w:bCs w:val="1"/>
                <w:color w:val="auto"/>
                <w:w w:val="98"/>
              </w:rPr>
              <w:t>CONSOLIDATED STATEMENTS OF OPERATIONS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3"/>
              </w:rPr>
              <w:t>(Dollars in millions, except per unit data)</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40" w:type="dxa"/>
            <w:vAlign w:val="bottom"/>
            <w:gridSpan w:val="3"/>
          </w:tcPr>
          <w:p>
            <w:pPr>
              <w:jc w:val="center"/>
              <w:ind w:right="740"/>
              <w:spacing w:after="0"/>
              <w:rPr>
                <w:sz w:val="20"/>
                <w:szCs w:val="20"/>
                <w:color w:val="auto"/>
              </w:rPr>
            </w:pPr>
            <w:r>
              <w:rPr>
                <w:rFonts w:ascii="Arial" w:cs="Arial" w:eastAsia="Arial" w:hAnsi="Arial"/>
                <w:sz w:val="18"/>
                <w:szCs w:val="18"/>
                <w:color w:val="auto"/>
                <w:w w:val="92"/>
              </w:rPr>
              <w:t>(unaudited)</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63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March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gridSpan w:val="6"/>
            <w:vMerge w:val="restart"/>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8260" w:type="dxa"/>
            <w:vAlign w:val="bottom"/>
            <w:gridSpan w:val="6"/>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Refined product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29"/>
        </w:trPr>
        <w:tc>
          <w:tcPr>
            <w:tcW w:w="8260" w:type="dxa"/>
            <w:vAlign w:val="bottom"/>
            <w:gridSpan w:val="6"/>
          </w:tcPr>
          <w:p>
            <w:pPr>
              <w:ind w:left="180"/>
              <w:spacing w:after="0"/>
              <w:rPr>
                <w:sz w:val="20"/>
                <w:szCs w:val="20"/>
                <w:color w:val="auto"/>
              </w:rPr>
            </w:pPr>
            <w:r>
              <w:rPr>
                <w:rFonts w:ascii="Arial" w:cs="Arial" w:eastAsia="Arial" w:hAnsi="Arial"/>
                <w:sz w:val="18"/>
                <w:szCs w:val="18"/>
                <w:color w:val="auto"/>
              </w:rPr>
              <w:t>Crude sales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30"/>
        </w:trPr>
        <w:tc>
          <w:tcPr>
            <w:tcW w:w="8260" w:type="dxa"/>
            <w:vAlign w:val="bottom"/>
            <w:gridSpan w:val="6"/>
          </w:tcPr>
          <w:p>
            <w:pPr>
              <w:ind w:left="180"/>
              <w:spacing w:after="0"/>
              <w:rPr>
                <w:sz w:val="20"/>
                <w:szCs w:val="20"/>
                <w:color w:val="auto"/>
              </w:rPr>
            </w:pPr>
            <w:r>
              <w:rPr>
                <w:rFonts w:ascii="Arial" w:cs="Arial" w:eastAsia="Arial" w:hAnsi="Arial"/>
                <w:sz w:val="18"/>
                <w:szCs w:val="18"/>
                <w:color w:val="auto"/>
              </w:rPr>
              <w:t>Gathering, transportation and other fees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Natural gas sales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6"/>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826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11,627</w:t>
            </w:r>
          </w:p>
        </w:tc>
        <w:tc>
          <w:tcPr>
            <w:tcW w:w="0" w:type="dxa"/>
            <w:vAlign w:val="bottom"/>
          </w:tcPr>
          <w:p>
            <w:pPr>
              <w:spacing w:after="0"/>
              <w:rPr>
                <w:sz w:val="1"/>
                <w:szCs w:val="1"/>
                <w:color w:val="auto"/>
              </w:rPr>
            </w:pPr>
          </w:p>
        </w:tc>
      </w:tr>
      <w:tr>
        <w:trPr>
          <w:trHeight w:val="209"/>
        </w:trPr>
        <w:tc>
          <w:tcPr>
            <w:tcW w:w="8260" w:type="dxa"/>
            <w:vAlign w:val="bottom"/>
            <w:gridSpan w:val="6"/>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0" w:type="dxa"/>
            <w:vAlign w:val="bottom"/>
          </w:tcPr>
          <w:p>
            <w:pPr>
              <w:spacing w:after="0"/>
              <w:rPr>
                <w:sz w:val="1"/>
                <w:szCs w:val="1"/>
                <w:color w:val="auto"/>
              </w:rPr>
            </w:pPr>
          </w:p>
        </w:tc>
      </w:tr>
      <w:tr>
        <w:trPr>
          <w:trHeight w:val="229"/>
        </w:trPr>
        <w:tc>
          <w:tcPr>
            <w:tcW w:w="8260" w:type="dxa"/>
            <w:vAlign w:val="bottom"/>
            <w:gridSpan w:val="6"/>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9"/>
        </w:trPr>
        <w:tc>
          <w:tcPr>
            <w:tcW w:w="8260" w:type="dxa"/>
            <w:vAlign w:val="bottom"/>
            <w:gridSpan w:val="6"/>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6"/>
          </w:tcPr>
          <w:p>
            <w:pPr>
              <w:ind w:left="36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11,566</w:t>
            </w:r>
          </w:p>
        </w:tc>
        <w:tc>
          <w:tcPr>
            <w:tcW w:w="0" w:type="dxa"/>
            <w:vAlign w:val="bottom"/>
          </w:tcPr>
          <w:p>
            <w:pPr>
              <w:spacing w:after="0"/>
              <w:rPr>
                <w:sz w:val="1"/>
                <w:szCs w:val="1"/>
                <w:color w:val="auto"/>
              </w:rPr>
            </w:pPr>
          </w:p>
        </w:tc>
      </w:tr>
      <w:tr>
        <w:trPr>
          <w:trHeight w:val="223"/>
        </w:trPr>
        <w:tc>
          <w:tcPr>
            <w:tcW w:w="82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8260" w:type="dxa"/>
            <w:vAlign w:val="bottom"/>
            <w:gridSpan w:val="6"/>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capitalized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9"/>
        </w:trPr>
        <w:tc>
          <w:tcPr>
            <w:tcW w:w="8260" w:type="dxa"/>
            <w:vAlign w:val="bottom"/>
            <w:gridSpan w:val="6"/>
          </w:tcPr>
          <w:p>
            <w:pPr>
              <w:ind w:left="180"/>
              <w:spacing w:after="0"/>
              <w:rPr>
                <w:sz w:val="20"/>
                <w:szCs w:val="20"/>
                <w:color w:val="auto"/>
              </w:rPr>
            </w:pPr>
            <w:r>
              <w:rPr>
                <w:rFonts w:ascii="Arial" w:cs="Arial" w:eastAsia="Arial" w:hAnsi="Arial"/>
                <w:sz w:val="18"/>
                <w:szCs w:val="18"/>
                <w:color w:val="auto"/>
              </w:rPr>
              <w:t>Equity in earnings (losses) of unconsolidated affiliates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Losses on extinguishments of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8260" w:type="dxa"/>
            <w:vAlign w:val="bottom"/>
            <w:gridSpan w:val="6"/>
          </w:tcPr>
          <w:p>
            <w:pPr>
              <w:ind w:left="180"/>
              <w:spacing w:after="0"/>
              <w:rPr>
                <w:sz w:val="20"/>
                <w:szCs w:val="20"/>
                <w:color w:val="auto"/>
              </w:rPr>
            </w:pPr>
            <w:r>
              <w:rPr>
                <w:rFonts w:ascii="Arial" w:cs="Arial" w:eastAsia="Arial" w:hAnsi="Arial"/>
                <w:sz w:val="18"/>
                <w:szCs w:val="18"/>
                <w:color w:val="auto"/>
              </w:rPr>
              <w:t>Gains (losses) on interest rate derivatives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260" w:type="dxa"/>
            <w:vAlign w:val="bottom"/>
            <w:gridSpan w:val="6"/>
          </w:tcPr>
          <w:p>
            <w:pPr>
              <w:ind w:left="20"/>
              <w:spacing w:after="0"/>
              <w:rPr>
                <w:sz w:val="20"/>
                <w:szCs w:val="20"/>
                <w:color w:val="auto"/>
              </w:rPr>
            </w:pPr>
            <w:r>
              <w:rPr>
                <w:rFonts w:ascii="Arial" w:cs="Arial" w:eastAsia="Arial" w:hAnsi="Arial"/>
                <w:sz w:val="18"/>
                <w:szCs w:val="18"/>
                <w:color w:val="auto"/>
              </w:rPr>
              <w:t>INCOME (LOSS) BEFORE INCOME TAX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260" w:type="dxa"/>
            <w:vAlign w:val="bottom"/>
            <w:gridSpan w:val="6"/>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Less: Net income (loss) attributable to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6"/>
          </w:tcPr>
          <w:p>
            <w:pPr>
              <w:ind w:left="18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2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PARTNERS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General Partner’s interest in net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8260" w:type="dxa"/>
            <w:vAlign w:val="bottom"/>
            <w:tcBorders>
              <w:bottom w:val="single" w:sz="8" w:color="CCEEFF"/>
            </w:tcBorders>
            <w:gridSpan w:val="6"/>
            <w:shd w:val="clear" w:color="auto" w:fill="CCEEFF"/>
          </w:tcPr>
          <w:p>
            <w:pPr>
              <w:ind w:left="20"/>
              <w:spacing w:after="0" w:line="196" w:lineRule="exact"/>
              <w:rPr>
                <w:sz w:val="20"/>
                <w:szCs w:val="20"/>
                <w:color w:val="auto"/>
              </w:rPr>
            </w:pPr>
            <w:r>
              <w:rPr>
                <w:rFonts w:ascii="Arial" w:cs="Arial" w:eastAsia="Arial" w:hAnsi="Arial"/>
                <w:sz w:val="18"/>
                <w:szCs w:val="18"/>
                <w:color w:val="auto"/>
              </w:rPr>
              <w:t>Limited Partners’ interest in net income (loss)</w:t>
            </w: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3,285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6"/>
            <w:vMerge w:val="restart"/>
          </w:tcPr>
          <w:p>
            <w:pPr>
              <w:ind w:left="20"/>
              <w:spacing w:after="0"/>
              <w:rPr>
                <w:sz w:val="20"/>
                <w:szCs w:val="20"/>
                <w:color w:val="auto"/>
              </w:rPr>
            </w:pPr>
            <w:r>
              <w:rPr>
                <w:rFonts w:ascii="Arial" w:cs="Arial" w:eastAsia="Arial" w:hAnsi="Arial"/>
                <w:sz w:val="18"/>
                <w:szCs w:val="18"/>
                <w:color w:val="auto"/>
              </w:rPr>
              <w:t>NET INCOME (LOSS) PER LIMITED PARTNER UNIT: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gridSpan w:val="6"/>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gridSpan w:val="6"/>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gridSpan w:val="6"/>
          </w:tcPr>
          <w:p>
            <w:pPr>
              <w:ind w:left="18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52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ENERGY TRANSFER LP AND SUBSIDIARIES</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160" w:type="dxa"/>
            <w:vAlign w:val="bottom"/>
            <w:gridSpan w:val="5"/>
          </w:tcPr>
          <w:p>
            <w:pPr>
              <w:jc w:val="center"/>
              <w:ind w:right="80"/>
              <w:spacing w:after="0" w:line="196" w:lineRule="exact"/>
              <w:rPr>
                <w:sz w:val="20"/>
                <w:szCs w:val="20"/>
                <w:color w:val="auto"/>
              </w:rPr>
            </w:pPr>
            <w:r>
              <w:rPr>
                <w:rFonts w:ascii="Arial" w:cs="Arial" w:eastAsia="Arial" w:hAnsi="Arial"/>
                <w:sz w:val="18"/>
                <w:szCs w:val="18"/>
                <w:b w:val="1"/>
                <w:bCs w:val="1"/>
                <w:color w:val="auto"/>
              </w:rPr>
              <w:t>CONSOLIDATED STATEMENTS OF COMPREHENSIVE INCOME (LOSS)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(Dollars in millions)</w:t>
            </w:r>
          </w:p>
        </w:tc>
        <w:tc>
          <w:tcPr>
            <w:tcW w:w="7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(unaudited)</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4"/>
          </w:tcPr>
          <w:p>
            <w:pPr>
              <w:jc w:val="right"/>
              <w:ind w:right="630"/>
              <w:spacing w:after="0"/>
              <w:rPr>
                <w:sz w:val="20"/>
                <w:szCs w:val="20"/>
                <w:color w:val="auto"/>
              </w:rPr>
            </w:pPr>
            <w:r>
              <w:rPr>
                <w:rFonts w:ascii="Arial" w:cs="Arial" w:eastAsia="Arial" w:hAnsi="Arial"/>
                <w:sz w:val="18"/>
                <w:szCs w:val="18"/>
                <w:color w:val="auto"/>
              </w:rPr>
              <w:t>Three Months Ended</w:t>
            </w:r>
          </w:p>
        </w:tc>
      </w:tr>
      <w:tr>
        <w:trPr>
          <w:trHeight w:val="229"/>
        </w:trPr>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March 31,</w:t>
            </w:r>
          </w:p>
        </w:tc>
        <w:tc>
          <w:tcPr>
            <w:tcW w:w="1000" w:type="dxa"/>
            <w:vAlign w:val="bottom"/>
            <w:tcBorders>
              <w:bottom w:val="single" w:sz="8" w:color="auto"/>
            </w:tcBorders>
          </w:tcPr>
          <w:p>
            <w:pPr>
              <w:spacing w:after="0"/>
              <w:rPr>
                <w:sz w:val="19"/>
                <w:szCs w:val="19"/>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75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30"/>
        </w:trPr>
        <w:tc>
          <w:tcPr>
            <w:tcW w:w="7520" w:type="dxa"/>
            <w:vAlign w:val="bottom"/>
            <w:gridSpan w:val="4"/>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5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Change in value of available-for-sale securities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520" w:type="dxa"/>
            <w:vAlign w:val="bottom"/>
            <w:gridSpan w:val="4"/>
          </w:tcPr>
          <w:p>
            <w:pPr>
              <w:ind w:left="360"/>
              <w:spacing w:after="0"/>
              <w:rPr>
                <w:sz w:val="20"/>
                <w:szCs w:val="20"/>
                <w:color w:val="auto"/>
              </w:rPr>
            </w:pPr>
            <w:r>
              <w:rPr>
                <w:rFonts w:ascii="Arial" w:cs="Arial" w:eastAsia="Arial" w:hAnsi="Arial"/>
                <w:sz w:val="18"/>
                <w:szCs w:val="18"/>
                <w:color w:val="auto"/>
              </w:rPr>
              <w:t>Actuarial gain related to pension and other postretirement benefit plans</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5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752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Change in other comprehensive loss from unconsolidated affiliates</w:t>
            </w:r>
          </w:p>
        </w:tc>
        <w:tc>
          <w:tcPr>
            <w:tcW w:w="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7520" w:type="dxa"/>
            <w:vAlign w:val="bottom"/>
            <w:gridSpan w:val="4"/>
          </w:tcPr>
          <w:p>
            <w:pPr>
              <w:ind w:left="20"/>
              <w:spacing w:after="0"/>
              <w:rPr>
                <w:sz w:val="20"/>
                <w:szCs w:val="20"/>
                <w:color w:val="auto"/>
              </w:rPr>
            </w:pPr>
            <w:r>
              <w:rPr>
                <w:rFonts w:ascii="Arial" w:cs="Arial" w:eastAsia="Arial" w:hAnsi="Arial"/>
                <w:sz w:val="18"/>
                <w:szCs w:val="18"/>
                <w:color w:val="auto"/>
              </w:rPr>
              <w:t>Comprehensive income (loss)</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75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752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color w:val="auto"/>
              </w:rPr>
              <w:t>Less: Comprehensive income attributable to redeemable noncontrolling interests</w:t>
            </w:r>
          </w:p>
        </w:tc>
        <w:tc>
          <w:tcPr>
            <w:tcW w:w="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75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partners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millions)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6"/>
                <w:szCs w:val="16"/>
                <w:color w:val="auto"/>
                <w:w w:val="92"/>
              </w:rPr>
              <w:t>Common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6"/>
                <w:szCs w:val="16"/>
                <w:color w:val="auto"/>
              </w:rPr>
              <w:t>General Partner</w:t>
            </w:r>
          </w:p>
        </w:tc>
        <w:tc>
          <w:tcPr>
            <w:tcW w:w="4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AOCI</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6"/>
                <w:szCs w:val="16"/>
                <w:color w:val="auto"/>
                <w:w w:val="95"/>
              </w:rPr>
              <w:t>Noncontrolling</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439"/>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6"/>
                <w:szCs w:val="16"/>
                <w:color w:val="auto"/>
                <w:w w:val="93"/>
              </w:rPr>
              <w:t>Unitholders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6"/>
                <w:szCs w:val="16"/>
                <w:color w:val="auto"/>
                <w:w w:val="87"/>
              </w:rPr>
              <w:t>Interests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center"/>
              <w:ind w:left="899"/>
              <w:spacing w:after="0"/>
              <w:rPr>
                <w:sz w:val="20"/>
                <w:szCs w:val="20"/>
                <w:color w:val="auto"/>
              </w:rPr>
            </w:pPr>
            <w:r>
              <w:rPr>
                <w:rFonts w:ascii="Arial" w:cs="Arial" w:eastAsia="Arial" w:hAnsi="Arial"/>
                <w:sz w:val="16"/>
                <w:szCs w:val="16"/>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Arial" w:cs="Arial" w:eastAsia="Arial" w:hAnsi="Arial"/>
                <w:sz w:val="16"/>
                <w:szCs w:val="16"/>
                <w:color w:val="auto"/>
              </w:rPr>
              <w:t>Distributions to partners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to noncontrolling interests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Arial" w:cs="Arial" w:eastAsia="Arial" w:hAnsi="Arial"/>
                <w:sz w:val="16"/>
                <w:szCs w:val="16"/>
                <w:color w:val="auto"/>
              </w:rPr>
              <w:t>Capital contributions from noncontrolling interests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 of tax</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Net income, excluding amounts attributable to</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3,285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redeemable noncontrolling interests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20"/>
              <w:spacing w:after="0"/>
              <w:rPr>
                <w:sz w:val="20"/>
                <w:szCs w:val="20"/>
                <w:color w:val="auto"/>
              </w:rPr>
            </w:pPr>
            <w:r>
              <w:rPr>
                <w:rFonts w:ascii="Arial" w:cs="Arial" w:eastAsia="Arial" w:hAnsi="Arial"/>
                <w:sz w:val="16"/>
                <w:szCs w:val="16"/>
                <w:color w:val="auto"/>
              </w:rPr>
              <w:t>Balance, March 31, 2021</w:t>
            </w: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21,428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center"/>
              <w:ind w:left="899"/>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81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4"/>
        </w:trPr>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ind w:left="200"/>
              <w:spacing w:after="0"/>
              <w:rPr>
                <w:sz w:val="20"/>
                <w:szCs w:val="20"/>
                <w:color w:val="auto"/>
              </w:rPr>
            </w:pPr>
            <w:r>
              <w:rPr>
                <w:rFonts w:ascii="Arial" w:cs="Arial" w:eastAsia="Arial" w:hAnsi="Arial"/>
                <w:sz w:val="16"/>
                <w:szCs w:val="16"/>
                <w:color w:val="auto"/>
              </w:rPr>
              <w:t>Common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6"/>
                <w:szCs w:val="16"/>
                <w:color w:val="auto"/>
              </w:rPr>
              <w:t>General Partner</w:t>
            </w:r>
          </w:p>
        </w:tc>
        <w:tc>
          <w:tcPr>
            <w:tcW w:w="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AOCI</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ind w:left="60"/>
              <w:spacing w:after="0"/>
              <w:rPr>
                <w:sz w:val="20"/>
                <w:szCs w:val="20"/>
                <w:color w:val="auto"/>
              </w:rPr>
            </w:pPr>
            <w:r>
              <w:rPr>
                <w:rFonts w:ascii="Arial" w:cs="Arial" w:eastAsia="Arial" w:hAnsi="Arial"/>
                <w:sz w:val="16"/>
                <w:szCs w:val="16"/>
                <w:color w:val="auto"/>
              </w:rPr>
              <w:t>Noncontrolling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Unitholders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color w:val="auto"/>
                <w:w w:val="87"/>
              </w:rPr>
              <w:t>Interests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21,935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Arial" w:cs="Arial" w:eastAsia="Arial" w:hAnsi="Arial"/>
                <w:sz w:val="16"/>
                <w:szCs w:val="16"/>
                <w:color w:val="auto"/>
              </w:rPr>
              <w:t>Distributions to partners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(1,591)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to noncontrolling interests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center"/>
              <w:ind w:left="799"/>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Arial" w:cs="Arial" w:eastAsia="Arial" w:hAnsi="Arial"/>
                <w:sz w:val="16"/>
                <w:szCs w:val="16"/>
                <w:color w:val="auto"/>
              </w:rPr>
              <w:t>Subsidiary units issued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left="799"/>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contributions from noncontrolling interests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center"/>
              <w:ind w:left="799"/>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Arial" w:cs="Arial" w:eastAsia="Arial" w:hAnsi="Arial"/>
                <w:sz w:val="16"/>
                <w:szCs w:val="16"/>
                <w:color w:val="auto"/>
              </w:rPr>
              <w:t>Other comprehensive loss, net of tax</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left="799"/>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center"/>
              <w:ind w:left="799"/>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860" w:type="dxa"/>
            <w:vAlign w:val="bottom"/>
          </w:tcPr>
          <w:p>
            <w:pPr>
              <w:ind w:left="140"/>
              <w:spacing w:after="0" w:line="166" w:lineRule="exact"/>
              <w:rPr>
                <w:sz w:val="20"/>
                <w:szCs w:val="20"/>
                <w:color w:val="auto"/>
              </w:rPr>
            </w:pPr>
            <w:r>
              <w:rPr>
                <w:rFonts w:ascii="Arial" w:cs="Arial" w:eastAsia="Arial" w:hAnsi="Arial"/>
                <w:sz w:val="16"/>
                <w:szCs w:val="16"/>
                <w:color w:val="auto"/>
                <w:w w:val="94"/>
              </w:rPr>
              <w:t>Net loss, excluding amounts attributable to redeemable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(854)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noncontrolling interests</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32,530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p>
      <w:pPr>
        <w:jc w:val="center"/>
        <w:ind w:left="8200"/>
        <w:spacing w:after="0"/>
        <w:rPr>
          <w:sz w:val="20"/>
          <w:szCs w:val="20"/>
          <w:color w:val="auto"/>
        </w:rPr>
      </w:pPr>
      <w:r>
        <w:rPr>
          <w:rFonts w:ascii="Arial" w:cs="Arial" w:eastAsia="Arial" w:hAnsi="Arial"/>
          <w:sz w:val="16"/>
          <w:szCs w:val="16"/>
          <w:color w:val="auto"/>
        </w:rPr>
        <w:t>Three Months Ended</w:t>
      </w:r>
    </w:p>
    <w:p>
      <w:pPr>
        <w:jc w:val="center"/>
        <w:ind w:left="8200"/>
        <w:spacing w:after="0"/>
        <w:rPr>
          <w:sz w:val="20"/>
          <w:szCs w:val="20"/>
          <w:color w:val="auto"/>
        </w:rPr>
      </w:pPr>
      <w:r>
        <w:rPr>
          <w:rFonts w:ascii="Arial" w:cs="Arial" w:eastAsia="Arial" w:hAnsi="Arial"/>
          <w:sz w:val="16"/>
          <w:szCs w:val="16"/>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r>
      <w:tr>
        <w:trPr>
          <w:trHeight w:val="199"/>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Reconciliation of net income (loss) to net cash provided by operating activities: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depletion and amortization</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r>
      <w:tr>
        <w:trPr>
          <w:trHeight w:val="213"/>
        </w:trPr>
        <w:tc>
          <w:tcPr>
            <w:tcW w:w="82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 valuation adjustments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13"/>
        </w:trPr>
        <w:tc>
          <w:tcPr>
            <w:tcW w:w="8240" w:type="dxa"/>
            <w:vAlign w:val="bottom"/>
          </w:tcPr>
          <w:p>
            <w:pPr>
              <w:ind w:left="180"/>
              <w:spacing w:after="0"/>
              <w:rPr>
                <w:sz w:val="20"/>
                <w:szCs w:val="20"/>
                <w:color w:val="auto"/>
              </w:rPr>
            </w:pPr>
            <w:r>
              <w:rPr>
                <w:rFonts w:ascii="Arial" w:cs="Arial" w:eastAsia="Arial" w:hAnsi="Arial"/>
                <w:sz w:val="16"/>
                <w:szCs w:val="16"/>
                <w:color w:val="auto"/>
              </w:rPr>
              <w:t>Non-cash compensation expense</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r>
      <w:tr>
        <w:trPr>
          <w:trHeight w:val="213"/>
        </w:trPr>
        <w:tc>
          <w:tcPr>
            <w:tcW w:w="8240" w:type="dxa"/>
            <w:vAlign w:val="bottom"/>
          </w:tcPr>
          <w:p>
            <w:pPr>
              <w:ind w:left="180"/>
              <w:spacing w:after="0"/>
              <w:rPr>
                <w:sz w:val="20"/>
                <w:szCs w:val="20"/>
                <w:color w:val="auto"/>
              </w:rPr>
            </w:pPr>
            <w:r>
              <w:rPr>
                <w:rFonts w:ascii="Arial" w:cs="Arial" w:eastAsia="Arial" w:hAnsi="Arial"/>
                <w:sz w:val="16"/>
                <w:szCs w:val="16"/>
                <w:color w:val="auto"/>
              </w:rPr>
              <w:t>Losses on extinguishments of debt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on unvested awards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8240" w:type="dxa"/>
            <w:vAlign w:val="bottom"/>
          </w:tcPr>
          <w:p>
            <w:pPr>
              <w:ind w:left="180"/>
              <w:spacing w:after="0"/>
              <w:rPr>
                <w:sz w:val="20"/>
                <w:szCs w:val="20"/>
                <w:color w:val="auto"/>
              </w:rPr>
            </w:pPr>
            <w:r>
              <w:rPr>
                <w:rFonts w:ascii="Arial" w:cs="Arial" w:eastAsia="Arial" w:hAnsi="Arial"/>
                <w:sz w:val="16"/>
                <w:szCs w:val="16"/>
                <w:color w:val="auto"/>
              </w:rPr>
              <w:t>Equity in (earnings) losses of unconsolidated affiliates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from unconsolidated affiliates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8240" w:type="dxa"/>
            <w:vAlign w:val="bottom"/>
          </w:tcPr>
          <w:p>
            <w:pPr>
              <w:ind w:left="180"/>
              <w:spacing w:after="0"/>
              <w:rPr>
                <w:sz w:val="20"/>
                <w:szCs w:val="20"/>
                <w:color w:val="auto"/>
              </w:rPr>
            </w:pPr>
            <w:r>
              <w:rPr>
                <w:rFonts w:ascii="Arial" w:cs="Arial" w:eastAsia="Arial" w:hAnsi="Arial"/>
                <w:sz w:val="16"/>
                <w:szCs w:val="16"/>
                <w:color w:val="auto"/>
              </w:rPr>
              <w:t>Other non-cash</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change in operating assets and liabilities, net of effects of acquisitions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06"/>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40" w:type="dxa"/>
            <w:vAlign w:val="bottom"/>
          </w:tcPr>
          <w:p>
            <w:pPr>
              <w:ind w:left="180"/>
              <w:spacing w:after="0"/>
              <w:rPr>
                <w:sz w:val="20"/>
                <w:szCs w:val="20"/>
                <w:color w:val="auto"/>
              </w:rPr>
            </w:pPr>
            <w:r>
              <w:rPr>
                <w:rFonts w:ascii="Arial" w:cs="Arial" w:eastAsia="Arial" w:hAnsi="Arial"/>
                <w:sz w:val="16"/>
                <w:szCs w:val="16"/>
                <w:color w:val="auto"/>
              </w:rPr>
              <w:t>Capital expenditures, excluding allowance for equity funds used during construction</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(1,621)</w:t>
            </w:r>
          </w:p>
        </w:tc>
      </w:tr>
      <w:tr>
        <w:trPr>
          <w:trHeight w:val="21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Contributions in aid of construction costs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8240" w:type="dxa"/>
            <w:vAlign w:val="bottom"/>
          </w:tcPr>
          <w:p>
            <w:pPr>
              <w:ind w:left="180"/>
              <w:spacing w:after="0"/>
              <w:rPr>
                <w:sz w:val="20"/>
                <w:szCs w:val="20"/>
                <w:color w:val="auto"/>
              </w:rPr>
            </w:pPr>
            <w:r>
              <w:rPr>
                <w:rFonts w:ascii="Arial" w:cs="Arial" w:eastAsia="Arial" w:hAnsi="Arial"/>
                <w:sz w:val="16"/>
                <w:szCs w:val="16"/>
                <w:color w:val="auto"/>
              </w:rPr>
              <w:t>Contributions to unconsolidated affiliates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from unconsolidated affiliates in excess of cumulative earnings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8240" w:type="dxa"/>
            <w:vAlign w:val="bottom"/>
          </w:tcPr>
          <w:p>
            <w:pPr>
              <w:ind w:left="180"/>
              <w:spacing w:after="0"/>
              <w:rPr>
                <w:sz w:val="20"/>
                <w:szCs w:val="20"/>
                <w:color w:val="auto"/>
              </w:rPr>
            </w:pPr>
            <w:r>
              <w:rPr>
                <w:rFonts w:ascii="Arial" w:cs="Arial" w:eastAsia="Arial" w:hAnsi="Arial"/>
                <w:sz w:val="16"/>
                <w:szCs w:val="16"/>
                <w:color w:val="auto"/>
              </w:rPr>
              <w:t>Proceeds from the sale of other assets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(1,557)</w:t>
            </w: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40" w:type="dxa"/>
            <w:vAlign w:val="bottom"/>
          </w:tcPr>
          <w:p>
            <w:pPr>
              <w:ind w:left="180"/>
              <w:spacing w:after="0"/>
              <w:rPr>
                <w:sz w:val="20"/>
                <w:szCs w:val="20"/>
                <w:color w:val="auto"/>
              </w:rPr>
            </w:pPr>
            <w:r>
              <w:rPr>
                <w:rFonts w:ascii="Arial" w:cs="Arial" w:eastAsia="Arial" w:hAnsi="Arial"/>
                <w:sz w:val="16"/>
                <w:szCs w:val="16"/>
                <w:color w:val="auto"/>
              </w:rPr>
              <w:t>Proceeds from borrowings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12,134</w:t>
            </w:r>
          </w:p>
        </w:tc>
      </w:tr>
      <w:tr>
        <w:trPr>
          <w:trHeight w:val="21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debt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(8,479)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(12,898)</w:t>
            </w:r>
          </w:p>
        </w:tc>
      </w:tr>
      <w:tr>
        <w:trPr>
          <w:trHeight w:val="213"/>
        </w:trPr>
        <w:tc>
          <w:tcPr>
            <w:tcW w:w="8240" w:type="dxa"/>
            <w:vAlign w:val="bottom"/>
          </w:tcPr>
          <w:p>
            <w:pPr>
              <w:ind w:left="180"/>
              <w:spacing w:after="0"/>
              <w:rPr>
                <w:sz w:val="20"/>
                <w:szCs w:val="20"/>
                <w:color w:val="auto"/>
              </w:rPr>
            </w:pPr>
            <w:r>
              <w:rPr>
                <w:rFonts w:ascii="Arial" w:cs="Arial" w:eastAsia="Arial" w:hAnsi="Arial"/>
                <w:sz w:val="16"/>
                <w:szCs w:val="16"/>
                <w:color w:val="auto"/>
              </w:rPr>
              <w:t>Subsidiary units issued for cash</w:t>
            </w:r>
          </w:p>
        </w:tc>
        <w:tc>
          <w:tcPr>
            <w:tcW w:w="9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1,580</w:t>
            </w:r>
          </w:p>
        </w:tc>
      </w:tr>
      <w:tr>
        <w:trPr>
          <w:trHeight w:val="21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 contributions from noncontrolling interests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8240" w:type="dxa"/>
            <w:vAlign w:val="bottom"/>
          </w:tcPr>
          <w:p>
            <w:pPr>
              <w:ind w:left="180"/>
              <w:spacing w:after="0"/>
              <w:rPr>
                <w:sz w:val="20"/>
                <w:szCs w:val="20"/>
                <w:color w:val="auto"/>
              </w:rPr>
            </w:pPr>
            <w:r>
              <w:rPr>
                <w:rFonts w:ascii="Arial" w:cs="Arial" w:eastAsia="Arial" w:hAnsi="Arial"/>
                <w:sz w:val="16"/>
                <w:szCs w:val="16"/>
                <w:color w:val="auto"/>
              </w:rPr>
              <w:t>Distributions to partners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21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13"/>
        </w:trPr>
        <w:tc>
          <w:tcPr>
            <w:tcW w:w="8240" w:type="dxa"/>
            <w:vAlign w:val="bottom"/>
          </w:tcPr>
          <w:p>
            <w:pPr>
              <w:ind w:left="180"/>
              <w:spacing w:after="0"/>
              <w:rPr>
                <w:sz w:val="20"/>
                <w:szCs w:val="20"/>
                <w:color w:val="auto"/>
              </w:rPr>
            </w:pPr>
            <w:r>
              <w:rPr>
                <w:rFonts w:ascii="Arial" w:cs="Arial" w:eastAsia="Arial" w:hAnsi="Arial"/>
                <w:sz w:val="16"/>
                <w:szCs w:val="16"/>
                <w:color w:val="auto"/>
              </w:rPr>
              <w:t>Distributions to redeemable noncontrolling interest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6"/>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financing activities</w:t>
            </w:r>
          </w:p>
        </w:tc>
        <w:tc>
          <w:tcPr>
            <w:tcW w:w="9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(4,532)</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 cash and cash equivalents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and unit amounts, except per unit data, are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ind w:left="340" w:right="6740" w:hanging="332"/>
        <w:spacing w:after="0" w:line="440"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ORGANIZATION AND BASIS OF PRESENTATION </w:t>
      </w:r>
      <w:r>
        <w:rPr>
          <w:rFonts w:ascii="Arial" w:cs="Arial" w:eastAsia="Arial" w:hAnsi="Arial"/>
          <w:sz w:val="18"/>
          <w:szCs w:val="18"/>
          <w:b w:val="1"/>
          <w:bCs w:val="1"/>
          <w:color w:val="auto"/>
        </w:rPr>
        <w:t>Organization</w:t>
      </w:r>
    </w:p>
    <w:p>
      <w:pPr>
        <w:spacing w:after="0" w:line="1"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presented herein contain the results of Energy Transfer LP and its subsidiaries (the “Partnership,” “we,” “us,” “our” or “ET”).</w:t>
      </w:r>
    </w:p>
    <w:p>
      <w:pPr>
        <w:spacing w:after="0" w:line="116"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April 1, 2021, ET, ETO and certain of ETO’s subsidiaries consummated several internal reorganization transactions (the “Rollup Mergers”). In connection with the Rollup Mergers, Sunoco Logistics Operations and its general partner merged with and into ETO, with ETO surviving, and immediately thereafter, ETO merged with and into ET, with ET surviving. The impacts of the Rollup Mergers also included the following:</w:t>
      </w:r>
    </w:p>
    <w:p>
      <w:pPr>
        <w:spacing w:after="0" w:line="57" w:lineRule="exact"/>
        <w:rPr>
          <w:rFonts w:ascii="Arial" w:cs="Arial" w:eastAsia="Arial" w:hAnsi="Arial"/>
          <w:sz w:val="18"/>
          <w:szCs w:val="18"/>
          <w:b w:val="1"/>
          <w:bCs w:val="1"/>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of ETO’s long-term debt was assumed by ET, as more fully described in Note 7.</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color w:val="auto"/>
        </w:rPr>
        <w:t>Each issued and outstanding ETO preferred unit was converted into the right to receive one newly created ET preferred unit. A description of the ET Preferred Units is included in Note 9.</w:t>
      </w:r>
    </w:p>
    <w:p>
      <w:pPr>
        <w:spacing w:after="0" w:line="62" w:lineRule="exact"/>
        <w:rPr>
          <w:rFonts w:ascii="Arial" w:cs="Arial" w:eastAsia="Arial" w:hAnsi="Arial"/>
          <w:sz w:val="18"/>
          <w:szCs w:val="18"/>
          <w:color w:val="auto"/>
        </w:rPr>
      </w:pPr>
    </w:p>
    <w:p>
      <w:pPr>
        <w:jc w:val="both"/>
        <w:ind w:left="660" w:hanging="328"/>
        <w:spacing w:after="0" w:line="342" w:lineRule="auto"/>
        <w:tabs>
          <w:tab w:leader="none" w:pos="655" w:val="left"/>
        </w:tabs>
        <w:numPr>
          <w:ilvl w:val="1"/>
          <w:numId w:val="3"/>
        </w:numPr>
        <w:rPr>
          <w:rFonts w:ascii="Arial" w:cs="Arial" w:eastAsia="Arial" w:hAnsi="Arial"/>
          <w:sz w:val="16"/>
          <w:szCs w:val="16"/>
          <w:color w:val="auto"/>
        </w:rPr>
      </w:pPr>
      <w:r>
        <w:rPr>
          <w:rFonts w:ascii="Arial" w:cs="Arial" w:eastAsia="Arial" w:hAnsi="Arial"/>
          <w:sz w:val="16"/>
          <w:szCs w:val="16"/>
          <w:color w:val="auto"/>
        </w:rPr>
        <w:t>Each of ETO’s issued and outstanding Class K, Class L, Class M and Class N units, all of which were held by ETP Holdco Corporation, a wholly-owned subsidiary of ETO, were converted into an aggregate 675,625,000 newly created Class B Units representing limited partner interests in ET.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statements reflect the following reportable segments: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unaudited financial information included in this Form 10-Q has been prepared on the same basis as the audited consolidated financial statements included in the Partnership’s Annual Report on Form 10-K for the year ended December 31, 2020, filed with the SEC on February 19, 2021. In the opinion of the Partnership’s management, such financial information reflects all adjustments necessary for a fair presentation of the financial position and the results of operations for such interim periods in accordance with GAAP. All intercompany items and transactions have been eliminated in consolidation. Certain information and footnote disclosures normally included in annual consolidated financial statements prepared in accordance with GAAP have been omitted pursuant to the rules and regulations of the SEC.</w:t>
      </w:r>
    </w:p>
    <w:p>
      <w:pPr>
        <w:spacing w:after="0" w:line="12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consolidated financial statements of the Partnership presented herein include the results of operations of our controlled subsidiaries, including Sunoco LP and USAC.</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Our subsidiaries also own varying undivided interests in certain pipelines. Ownership of these pipelines has been structured as an ownership of an undivided interest in assets, not as an ownership interest in a partnership, limited liability company, joint venture or other forms of entities. Each owner controls marketing and invoices separately, and each owner is responsible for any loss, damage or injury that may occur to their own customers. As a result, we apply proportionate consolidation for our interests in these entities.</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Certain prior period amounts have also been reclassified to conform to the current period presentation. These reclassifications had no impact on net income or total equity.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unaudited consolidated financial statements have been prepared in conformity with GAAP, which includes the use of estimates and assumptions made by management that affect the reported amounts of assets, liabilities, revenues, expenses and the accrual for and disclosure of contingent assets and liabilities that exist at the date of the consolidated financial statements. Although these estimates are based on management’s available knowledge of current and expected future events, actual results could be different from those estimates.</w:t>
      </w:r>
    </w:p>
    <w:p>
      <w:pPr>
        <w:spacing w:after="0" w:line="113" w:lineRule="exact"/>
        <w:rPr>
          <w:sz w:val="20"/>
          <w:szCs w:val="20"/>
          <w:color w:val="auto"/>
        </w:rPr>
      </w:pPr>
    </w:p>
    <w:p>
      <w:pPr>
        <w:ind w:left="340" w:right="6760" w:hanging="332"/>
        <w:spacing w:after="0" w:line="440" w:lineRule="auto"/>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ACQUISITIONS AND RELATED TRANSACTIONS </w:t>
      </w:r>
      <w:r>
        <w:rPr>
          <w:rFonts w:ascii="Arial" w:cs="Arial" w:eastAsia="Arial" w:hAnsi="Arial"/>
          <w:sz w:val="18"/>
          <w:szCs w:val="18"/>
          <w:b w:val="1"/>
          <w:bCs w:val="1"/>
          <w:color w:val="auto"/>
        </w:rPr>
        <w:t>Pending Enable Acquisition</w:t>
      </w:r>
    </w:p>
    <w:p>
      <w:pPr>
        <w:spacing w:after="0" w:line="1"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February 16, 2021, the Partnership entered into a definitive merger agreement to acquire Enable. Under the terms of the merger agreement, Enable’s common unitholders will receive 0.8595 of an ET common unit in exchange for each Enable common unit. In addition, each outstanding Enable preferred unit will be exchanged for 0.0265 of a Series G Preferred Unit, and ET will make a $10 million cash payment for Enable’s general partner. Pursuant to support agreements entered into in connection with the merger agreement, the two largest Enable unitholders have delivered their written consents to approve the merger. These unitholders collectively own 79% of Enable’s outstanding common units, and those consents are therefore sufficient to approve the merger. The transaction is subject to the satisfaction of customary closing conditions, including Hart-Scott-Rodino Act (“HSR”) clearance.</w:t>
      </w:r>
    </w:p>
    <w:p>
      <w:pPr>
        <w:spacing w:after="0" w:line="140"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 anticipate that the Federal Trade Commission (“FTC”) will issue requests for additional information and documentary material, commonly known as “second requests,” which would extend the HSR waiting period until the 30th calendar day after the date that both parties substantially comply with the second requests. We continue to believe that the FTC will grant unconditional clearance of the transaction, and we remain fully committed to closing the Enable merger under the terms of the merger agreement. We expect to close the transaction in the second half of 2021.</w:t>
      </w:r>
    </w:p>
    <w:p>
      <w:pPr>
        <w:spacing w:after="0" w:line="113"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17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all cash on hand, demand deposits, and investments with original maturities of three months or less. We consider cash equivalents to include short-term, highly liquid investments that are readily convertible to known amounts of cash and that are subject to an insignificant risk of changes in value. The Partnership’s consolidated balance sheets did not include any material amounts of restricted cash as of March 31, 2021 or December 31, 2020.</w:t>
      </w:r>
    </w:p>
    <w:p>
      <w:pPr>
        <w:spacing w:after="0" w:line="132"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place our cash deposits and temporary cash investments with high credit quality financial institutions. At times, our cash and cash equivalents may be uninsured or in deposit accounts that exceed the Federal Deposit Insurance Corporation insurance limit.</w:t>
      </w:r>
    </w:p>
    <w:p>
      <w:pPr>
        <w:spacing w:after="0" w:line="116"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net change in operating assets and liabilities (net of effects of acquisitions) included in cash flows from operating activities is comprised as follows:</w:t>
      </w:r>
    </w:p>
    <w:p>
      <w:pPr>
        <w:spacing w:after="0" w:line="141"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Three Months Ended</w:t>
      </w:r>
    </w:p>
    <w:p>
      <w:pPr>
        <w:jc w:val="center"/>
        <w:ind w:left="750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spacing w:after="0"/>
              <w:rPr>
                <w:sz w:val="19"/>
                <w:szCs w:val="19"/>
                <w:color w:val="auto"/>
              </w:rPr>
            </w:pPr>
          </w:p>
        </w:tc>
        <w:tc>
          <w:tcPr>
            <w:tcW w:w="75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Accounts receivable from related companies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to related companies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Derivative assets and liabilities,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operating assets and liabilities, net of effects of acquisitions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7580" w:type="dxa"/>
            <w:vAlign w:val="bottom"/>
            <w:tcBorders>
              <w:top w:val="single" w:sz="8" w:color="CCEEFF"/>
              <w:bottom w:val="single" w:sz="8" w:color="CCEEFF"/>
            </w:tcBorders>
            <w:vMerge w:val="restart"/>
          </w:tcPr>
          <w:p>
            <w:pPr>
              <w:ind w:left="5240"/>
              <w:spacing w:after="0"/>
              <w:rPr>
                <w:sz w:val="20"/>
                <w:szCs w:val="20"/>
                <w:color w:val="auto"/>
              </w:rPr>
            </w:pPr>
            <w:r>
              <w:rPr>
                <w:rFonts w:ascii="Arial" w:cs="Arial" w:eastAsia="Arial" w:hAnsi="Arial"/>
                <w:sz w:val="18"/>
                <w:szCs w:val="18"/>
                <w:color w:val="auto"/>
              </w:rPr>
              <w:t>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40" w:type="dxa"/>
            <w:vAlign w:val="bottom"/>
            <w:vMerge w:val="continue"/>
          </w:tcPr>
          <w:p>
            <w:pPr>
              <w:spacing w:after="0"/>
              <w:rPr>
                <w:sz w:val="24"/>
                <w:szCs w:val="24"/>
                <w:color w:val="auto"/>
              </w:rPr>
            </w:pPr>
          </w:p>
        </w:tc>
        <w:tc>
          <w:tcPr>
            <w:tcW w:w="7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7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Non-cash activities were as follows:</w:t>
      </w:r>
    </w:p>
    <w:p>
      <w:pPr>
        <w:spacing w:after="0" w:line="196"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Three Months Ended</w:t>
      </w:r>
    </w:p>
    <w:p>
      <w:pPr>
        <w:jc w:val="center"/>
        <w:ind w:left="750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7580" w:type="dxa"/>
            <w:vAlign w:val="bottom"/>
            <w:vMerge w:val="restart"/>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capital expenditures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Accrued distributions to partners</w:t>
            </w: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assets obtained in exchange for new lease liabilities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7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consist principally of natural gas held in storage, NGLs, and refined products, crude oil and spare parts, all of which are valued at the lower of cost or net realizable value utilizing the weighted-average cost method.</w:t>
      </w:r>
    </w:p>
    <w:p>
      <w:pPr>
        <w:spacing w:after="0" w:line="116"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Sunoco LP’s fuel inventories are stated at the lower of cost or market using the last-in, first-out (“LIFO”) method. As of March 31, 2021 and December 31, 2020, the carrying value of Sunoco LP’s fuel inventory included lower of cost or market reserves of $211 million and $311 million, respectively, and the inventory carrying value equaled or exceeded its replacement cost. For the three months ended March 31, 2021 and 2020, the Partnership’s consolidated income statements did not include any material amounts of income from the liquidation of LIFO fuel inventory.</w:t>
      </w:r>
    </w:p>
    <w:p>
      <w:pPr>
        <w:spacing w:after="0" w:line="12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7"/>
                <w:szCs w:val="17"/>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December 31,</w:t>
            </w:r>
          </w:p>
        </w:tc>
      </w:tr>
      <w:tr>
        <w:trPr>
          <w:trHeight w:val="229"/>
        </w:trPr>
        <w:tc>
          <w:tcPr>
            <w:tcW w:w="7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NGLs and refined products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Crude oil</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Spare parts and other</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3"/>
        </w:trPr>
        <w:tc>
          <w:tcPr>
            <w:tcW w:w="758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We utilize commodity derivatives to manage price volatility associated with our natural gas inventory. Changes in fair value of designated hedged inventory are recorded in inventory on our consolidated balance sheets and cost of products sold in our consolidated statements of operations.</w:t>
      </w:r>
    </w:p>
    <w:p>
      <w:pPr>
        <w:spacing w:after="0" w:line="8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MEASURES</w:t>
      </w:r>
    </w:p>
    <w:p>
      <w:pPr>
        <w:spacing w:after="0" w:line="175" w:lineRule="exact"/>
        <w:rPr>
          <w:rFonts w:ascii="Arial" w:cs="Arial" w:eastAsia="Arial" w:hAnsi="Arial"/>
          <w:sz w:val="18"/>
          <w:szCs w:val="18"/>
          <w:b w:val="1"/>
          <w:bCs w:val="1"/>
          <w:color w:val="auto"/>
        </w:rPr>
      </w:pPr>
    </w:p>
    <w:p>
      <w:pPr>
        <w:jc w:val="both"/>
        <w:ind w:left="3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We have commodity derivatives and interest rate derivatives that are accounted for as assets and liabilities at fair value in our consolidated balance sheets. We determine the fair value of our assets and liabilities subject to fair value measurement by using the highest possible “level” of inputs. Level 1 inputs are observable quotes in an active market for identical assets and liabilities. We consider the valuation of marketable securities and commodity derivatives transacted through a clearing broker with a published price from the appropriate exchange as a Level 1 valuation. Level 2 inputs are inputs observable for similar assets and liabilities. We consider OTC commodity derivatives entered into directly with third parties as a Level 2 valuation since the values of these derivatives are quoted on an exchange for similar transactions. Additionally, we consider our options transacted through our clearing broker as having Level 2 inputs due to the level of activity of these contracts on the exchange in which they trade. We consider the valuation of our interest rate derivatives as Level 2 as the primary input, the LIBOR curve, is based on quotes from an active exchange of Eurodollar futures for the same period as the future interest swap settlements. Level 3 inputs are unobservable. During the three months ended March 31, 2021, no transfers were made between any levels within the fair value hierarchy.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summarize the gross fair value of our financial assets and liabilities measured and recorded at fair value on a recurring basis as of</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31, 2021 and December 31, 2020 based on inputs used to derive their fair values: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5"/>
          </w:tcPr>
          <w:p>
            <w:pPr>
              <w:ind w:left="200"/>
              <w:spacing w:after="0"/>
              <w:rPr>
                <w:sz w:val="20"/>
                <w:szCs w:val="20"/>
                <w:color w:val="auto"/>
              </w:rPr>
            </w:pPr>
            <w:r>
              <w:rPr>
                <w:rFonts w:ascii="Arial" w:cs="Arial" w:eastAsia="Arial" w:hAnsi="Arial"/>
                <w:sz w:val="18"/>
                <w:szCs w:val="18"/>
                <w:color w:val="auto"/>
              </w:rPr>
              <w:t>Fair Value Measurements at</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60" w:type="dxa"/>
            <w:vAlign w:val="bottom"/>
            <w:gridSpan w:val="5"/>
          </w:tcPr>
          <w:p>
            <w:pPr>
              <w:ind w:left="620"/>
              <w:spacing w:after="0"/>
              <w:rPr>
                <w:sz w:val="20"/>
                <w:szCs w:val="20"/>
                <w:color w:val="auto"/>
              </w:rPr>
            </w:pPr>
            <w:r>
              <w:rPr>
                <w:rFonts w:ascii="Arial" w:cs="Arial" w:eastAsia="Arial" w:hAnsi="Arial"/>
                <w:sz w:val="18"/>
                <w:szCs w:val="18"/>
                <w:color w:val="auto"/>
              </w:rPr>
              <w:t>March 31, 2021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Fair Value Total</w:t>
            </w: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Level 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Natural Gas:</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Swing Swaps IFERC</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Forward Physical Contracts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Forwards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NGLs – Forwards/Swaps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 Futures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Crude – Forwards/Swaps</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commodity derivatives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0" w:type="dxa"/>
            <w:vAlign w:val="bottom"/>
          </w:tcPr>
          <w:p>
            <w:pPr>
              <w:spacing w:after="0"/>
              <w:rPr>
                <w:sz w:val="15"/>
                <w:szCs w:val="15"/>
                <w:color w:val="auto"/>
              </w:rPr>
            </w:pPr>
          </w:p>
        </w:tc>
        <w:tc>
          <w:tcPr>
            <w:tcW w:w="384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Forward Physical Contracts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Forwards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NGLs – Forwards/Swaps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 Futures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Crude – Forwards/Swaps</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commodity derivatives</w:t>
            </w:r>
          </w:p>
        </w:tc>
        <w:tc>
          <w:tcPr>
            <w:tcW w:w="2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40" w:type="dxa"/>
            <w:vAlign w:val="bottom"/>
            <w:vMerge w:val="restart"/>
          </w:tcPr>
          <w:p>
            <w:pPr>
              <w:jc w:val="right"/>
              <w:ind w:right="6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4"/>
          </w:tcPr>
          <w:p>
            <w:pPr>
              <w:ind w:left="200"/>
              <w:spacing w:after="0"/>
              <w:rPr>
                <w:sz w:val="20"/>
                <w:szCs w:val="20"/>
                <w:color w:val="auto"/>
              </w:rPr>
            </w:pPr>
            <w:r>
              <w:rPr>
                <w:rFonts w:ascii="Arial" w:cs="Arial" w:eastAsia="Arial" w:hAnsi="Arial"/>
                <w:sz w:val="18"/>
                <w:szCs w:val="18"/>
                <w:color w:val="auto"/>
              </w:rPr>
              <w:t>Fair Value Measurements at</w:t>
            </w:r>
          </w:p>
        </w:tc>
        <w:tc>
          <w:tcPr>
            <w:tcW w:w="0" w:type="dxa"/>
            <w:vAlign w:val="bottom"/>
          </w:tcPr>
          <w:p>
            <w:pPr>
              <w:spacing w:after="0"/>
              <w:rPr>
                <w:sz w:val="1"/>
                <w:szCs w:val="1"/>
                <w:color w:val="auto"/>
              </w:rPr>
            </w:pPr>
          </w:p>
        </w:tc>
      </w:tr>
      <w:tr>
        <w:trPr>
          <w:trHeight w:val="229"/>
        </w:trPr>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223"/>
        </w:trPr>
        <w:tc>
          <w:tcPr>
            <w:tcW w:w="606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Fair Value Total</w:t>
            </w: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19"/>
                <w:szCs w:val="19"/>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Natural Gas: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Swing Swaps IFERC</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Arial" w:cs="Arial" w:eastAsia="Arial" w:hAnsi="Arial"/>
                <w:sz w:val="18"/>
                <w:szCs w:val="18"/>
                <w:color w:val="auto"/>
              </w:rPr>
              <w:t>Forward Physical Contracts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Arial" w:cs="Arial" w:eastAsia="Arial" w:hAnsi="Arial"/>
                <w:sz w:val="18"/>
                <w:szCs w:val="18"/>
                <w:color w:val="auto"/>
              </w:rPr>
              <w:t>Forwards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Arial" w:cs="Arial" w:eastAsia="Arial" w:hAnsi="Arial"/>
                <w:sz w:val="18"/>
                <w:szCs w:val="18"/>
                <w:color w:val="auto"/>
              </w:rPr>
              <w:t>Options – Calls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NGLs – Forwards/Swaps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Refined Products – Futures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commodity derivatives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Power:</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NGLs – Forwards/Swaps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 Futures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commodity derivatives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Based on the estimated borrowing rates currently available to us and our subsidiaries for loans with similar terms and average maturities, the aggregate fair value and carrying amount of our consolidated debt obligations as of March 31, 2021 were $51.39 billion and $47.74 billion, respectively. As of December 31, 2020, the aggregate fair value and carrying amount of our consolidated debt obligations were $56.21 billion and $51.44 billion, respectively. The fair value of our consolidated debt obligations is a Level 2 valuation based on the respective debt obligations’ observable inputs used for similar liabilities.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(LOSS) PER LIMITED PARTNER UNIT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income and weighted average units used in computing basic and diluted income (loss) per unit is as follows:</w:t>
      </w:r>
    </w:p>
    <w:p>
      <w:pPr>
        <w:spacing w:after="0" w:line="196"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Three Months Ended</w:t>
      </w:r>
    </w:p>
    <w:p>
      <w:pPr>
        <w:jc w:val="center"/>
        <w:ind w:left="796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80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Net income (loss), net of noncontrolling interests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General Partner’s interest in income (loss)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Income (loss) available to Limited Partners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Basic Income (Loss) per Limited Partner Unit: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Weighted average limited partner units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2,691.7</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Basic income (loss) per Limited Partner unit</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Income (Loss) per Limited Partner Unit: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available to Limited Partners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29"/>
        </w:trPr>
        <w:tc>
          <w:tcPr>
            <w:tcW w:w="8040" w:type="dxa"/>
            <w:vAlign w:val="bottom"/>
          </w:tcPr>
          <w:p>
            <w:pPr>
              <w:ind w:left="340"/>
              <w:spacing w:after="0" w:line="230" w:lineRule="exact"/>
              <w:rPr>
                <w:sz w:val="20"/>
                <w:szCs w:val="20"/>
                <w:color w:val="auto"/>
              </w:rPr>
            </w:pPr>
            <w:r>
              <w:rPr>
                <w:rFonts w:ascii="Arial" w:cs="Arial" w:eastAsia="Arial" w:hAnsi="Arial"/>
                <w:sz w:val="18"/>
                <w:szCs w:val="18"/>
                <w:color w:val="auto"/>
              </w:rPr>
              <w:t xml:space="preserve">Dilutive effect of equity-based compensation of subsidiaries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income (loss) available to Limited Partners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limited partner units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2,702.8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2,691.7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Dilutive effect of unvested unit awards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 average limited partner units, assuming dilutive effect of unvested unit awards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2,691.7</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income (loss) per Limited Partner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ind w:left="640" w:hanging="308"/>
        <w:spacing w:after="0"/>
        <w:tabs>
          <w:tab w:leader="none" w:pos="640" w:val="left"/>
        </w:tabs>
        <w:numPr>
          <w:ilvl w:val="1"/>
          <w:numId w:val="9"/>
        </w:numPr>
        <w:rPr>
          <w:rFonts w:ascii="Arial" w:cs="Arial" w:eastAsia="Arial" w:hAnsi="Arial"/>
          <w:sz w:val="23"/>
          <w:szCs w:val="23"/>
          <w:color w:val="auto"/>
          <w:vertAlign w:val="superscript"/>
        </w:rPr>
      </w:pPr>
      <w:r>
        <w:rPr>
          <w:rFonts w:ascii="Arial" w:cs="Arial" w:eastAsia="Arial" w:hAnsi="Arial"/>
          <w:sz w:val="18"/>
          <w:szCs w:val="18"/>
          <w:color w:val="auto"/>
        </w:rPr>
        <w:t>Dilutive effects are excluded from the calculation for periods where the impact would have been antidilutive.</w:t>
      </w:r>
    </w:p>
    <w:p>
      <w:pPr>
        <w:spacing w:after="0" w:line="143"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OBLIGATIONS</w:t>
      </w:r>
    </w:p>
    <w:p>
      <w:pPr>
        <w:spacing w:after="0" w:line="17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discussed in Note 1 above, in connection with the Rollup Mergers on April 1, 2021, ET entered into various supplemental indentures and assumed all the obligations of ETO under the respective indentures and credit agreements.</w:t>
      </w:r>
    </w:p>
    <w:p>
      <w:pPr>
        <w:spacing w:after="0" w:line="116"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first quarter of 2021, ETO redeemed its $600 million of 4.40% senior notes due April 1, 2021 and its $800 million of 4.65% senior notes due June 1, 2021, using proceeds from the Five-Year Credit Facility.</w:t>
      </w:r>
    </w:p>
    <w:p>
      <w:pPr>
        <w:spacing w:after="0" w:line="112" w:lineRule="exact"/>
        <w:rPr>
          <w:rFonts w:ascii="Arial" w:cs="Arial" w:eastAsia="Arial" w:hAnsi="Arial"/>
          <w:sz w:val="18"/>
          <w:szCs w:val="18"/>
          <w:b w:val="1"/>
          <w:bCs w:val="1"/>
          <w:color w:val="auto"/>
        </w:rPr>
      </w:pPr>
    </w:p>
    <w:p>
      <w:pPr>
        <w:ind w:left="340" w:right="7840"/>
        <w:spacing w:after="0" w:line="44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Facilities and Commercial Paper </w:t>
      </w:r>
      <w:r>
        <w:rPr>
          <w:rFonts w:ascii="Arial" w:cs="Arial" w:eastAsia="Arial" w:hAnsi="Arial"/>
          <w:sz w:val="18"/>
          <w:szCs w:val="18"/>
          <w:b w:val="1"/>
          <w:bCs w:val="1"/>
          <w:i w:val="1"/>
          <w:iCs w:val="1"/>
          <w:color w:val="auto"/>
        </w:rPr>
        <w:t>Term Loan</w:t>
      </w:r>
    </w:p>
    <w:p>
      <w:pPr>
        <w:spacing w:after="0" w:line="1"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a result of the Rollup Mergers, on April 1, 2021, ET assumed all of ETO’s obligations in respect of its term loan credit agreement (the “Term Loan”) and Sunoco Logistics Operations was released as a guarantor in respect of the Term Loan. The Partnership’s Term Loan provides for a $2.00 billion three-year term loan credit facility. Borrowings under the Term Loan mature on October 17, 2022 and are available for working capital purposes and for general partnership purposes. As of March 31, 2021, the Term Loan had $2.00 billion outstanding and was fully drawn. The weighted average interest rate on the total amount outstanding as of March 31, 2021 was 1.11%.</w:t>
      </w:r>
    </w:p>
    <w:p>
      <w:pPr>
        <w:spacing w:after="0" w:line="1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Five-Year Credit Facility</w:t>
      </w:r>
    </w:p>
    <w:p>
      <w:pPr>
        <w:spacing w:after="0" w:line="171"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 a result of the Rollup Mergers, on April 1, 2021, ET assumed all of ETO’s obligations in respect of its revolving credit facility (the “Five-Year Credit Facility”) and Sunoco Logistics Operations was released as a guarantor in respect of the Five-Year Credit Facility. The Partnership’s Five-Year Credit Facility allows for unsecured borrowings up to $5.00 billion and matures on December 1, 2023. The Five-Year Credit Facility contains an accordion feature, under which the total aggregate commitment may be increased up to $6.00 billion under certain conditions.</w:t>
      </w:r>
    </w:p>
    <w:p>
      <w:pPr>
        <w:spacing w:after="0" w:line="117"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March 31, 2021, the Five-Year Credit Facility had $800 million of outstanding borrowings, all of which consisted of commercial paper. The amount available for future borrowings was $4.08 billion, after accounting for outstanding letters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credit in the amount of $121 million. The weighted average interest rate on the total amount outstanding as of March 31, 2021 was 0.45%.</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364-Day Facility</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a result of the Rollup Mergers, on April 1, 2021, ET assumed all of ETO’s obligations in respect of its 364-day revolving credit facility (the “364-Day Facility”) and Sunoco Logistics Operations was released as a guarantor in respect of the 364-Day Facility. The Partnership’s 364-Day Facility allows for unsecured borrowings up to $1.00 billion and matures on November 26, 2021. As of March 31, 2021, the 364-Day Facility had no outstanding borrowings.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 Credit Facility</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Sunoco LP maintains a $1.50 billion revolving credit facility (the “Sunoco LP Credit Facility”). As of March 31, 2021, the Sunoco LP Credit Facility had $381 million of outstanding borrowings and $8 million in standby letters of credit. The amount available for future borrowings at March 31, 2021 was $1.10 billion. The weighted average interest rate on the total amount outstanding as of March 31, 2021 was 1.86%.</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 Credit Facility</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USAC maintains a $1.60 billion revolving credit facility (the “USAC Credit Facility”), which matures on April 2, 2023 and permits up to $400 million of future increases in borrowing capacity. As of March 31, 2021, USAC had $503 million of outstanding borrowings and no outstanding letters of credit under the USAC Credit Facility. As of March 31, 2021, USAC had $1.10 billion of availability under the USAC Credit Facility. The weighted average interest rate on the total amount outstanding as of March 31, 2021 was 3.20%.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Energy Transfer Canada Credit Facilities</w:t>
      </w:r>
    </w:p>
    <w:p>
      <w:pPr>
        <w:spacing w:after="0" w:line="17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212529"/>
        </w:rPr>
        <w:t xml:space="preserve">Energy Transfer Canada is party to a credit agreement providing for a C$350 million (US$278 million at the </w:t>
      </w:r>
      <w:r>
        <w:rPr>
          <w:rFonts w:ascii="Arial" w:cs="Arial" w:eastAsia="Arial" w:hAnsi="Arial"/>
          <w:sz w:val="18"/>
          <w:szCs w:val="18"/>
          <w:color w:val="000000"/>
        </w:rPr>
        <w:t>March 31, 2021</w:t>
      </w:r>
      <w:r>
        <w:rPr>
          <w:rFonts w:ascii="Arial" w:cs="Arial" w:eastAsia="Arial" w:hAnsi="Arial"/>
          <w:sz w:val="18"/>
          <w:szCs w:val="18"/>
          <w:color w:val="212529"/>
        </w:rPr>
        <w:t xml:space="preserve"> exchange rate) senior secured term loan facility, a C$525 million (US$417 million at the </w:t>
      </w:r>
      <w:r>
        <w:rPr>
          <w:rFonts w:ascii="Arial" w:cs="Arial" w:eastAsia="Arial" w:hAnsi="Arial"/>
          <w:sz w:val="18"/>
          <w:szCs w:val="18"/>
          <w:color w:val="000000"/>
        </w:rPr>
        <w:t>March 31, 2021</w:t>
      </w:r>
      <w:r>
        <w:rPr>
          <w:rFonts w:ascii="Arial" w:cs="Arial" w:eastAsia="Arial" w:hAnsi="Arial"/>
          <w:sz w:val="18"/>
          <w:szCs w:val="18"/>
          <w:color w:val="212529"/>
        </w:rPr>
        <w:t xml:space="preserve"> exchange rate) senior secured revolving credit facility, and a C$300 million (US$239 million at the </w:t>
      </w:r>
      <w:r>
        <w:rPr>
          <w:rFonts w:ascii="Arial" w:cs="Arial" w:eastAsia="Arial" w:hAnsi="Arial"/>
          <w:sz w:val="18"/>
          <w:szCs w:val="18"/>
          <w:color w:val="000000"/>
        </w:rPr>
        <w:t>March 31, 2021</w:t>
      </w:r>
      <w:r>
        <w:rPr>
          <w:rFonts w:ascii="Arial" w:cs="Arial" w:eastAsia="Arial" w:hAnsi="Arial"/>
          <w:sz w:val="18"/>
          <w:szCs w:val="18"/>
          <w:color w:val="212529"/>
        </w:rPr>
        <w:t xml:space="preserve"> exchange rate) senior secured construction loan facility (the “KAPS Facility”). The term loan facility and the revolving credit facility mature on February 25, 2024. The KAPS Facility matures on June 13, 2024. Energy Transfer Canada may incur additional term loans and revolving commitments in an aggregate amount not to exceed C$250 million (US$199 million at the </w:t>
      </w:r>
      <w:r>
        <w:rPr>
          <w:rFonts w:ascii="Arial" w:cs="Arial" w:eastAsia="Arial" w:hAnsi="Arial"/>
          <w:sz w:val="18"/>
          <w:szCs w:val="18"/>
          <w:color w:val="000000"/>
        </w:rPr>
        <w:t>March 31, 2021</w:t>
      </w:r>
      <w:r>
        <w:rPr>
          <w:rFonts w:ascii="Arial" w:cs="Arial" w:eastAsia="Arial" w:hAnsi="Arial"/>
          <w:sz w:val="18"/>
          <w:szCs w:val="18"/>
          <w:color w:val="212529"/>
        </w:rPr>
        <w:t xml:space="preserve"> exchange rate), subject to receiving commitments for such additional term loans or revolving commitments from either new lenders or increased commitments from existing lenders. As of March 31, 2021, the Energy Transfer Canada senior secured term loan facility and senior secured revolving credit facility had $261 million and $65 million, respectively, of outstanding borrowings. As of March 31, 2021, the KAPS Facility had </w:t>
      </w:r>
      <w:r>
        <w:rPr>
          <w:rFonts w:ascii="Arial" w:cs="Arial" w:eastAsia="Arial" w:hAnsi="Arial"/>
          <w:sz w:val="18"/>
          <w:szCs w:val="18"/>
          <w:color w:val="000000"/>
        </w:rPr>
        <w:t>no</w:t>
      </w:r>
      <w:r>
        <w:rPr>
          <w:rFonts w:ascii="Arial" w:cs="Arial" w:eastAsia="Arial" w:hAnsi="Arial"/>
          <w:sz w:val="18"/>
          <w:szCs w:val="18"/>
          <w:color w:val="212529"/>
        </w:rPr>
        <w:t xml:space="preserve"> outstanding borrowings.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Compliance with our Covenants</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and our subsidiaries were in compliance with all requirements, tests, limitations, and covenants related to our debt agreements as of March 31, 2021. For the quarter ended March 31, 2021, our leverage ratio, as calculated pursuant to the covenant related to our revolving credit facility, was 3.23x.</w:t>
      </w:r>
    </w:p>
    <w:p>
      <w:pPr>
        <w:spacing w:after="0" w:line="12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REDEEMABLE NONCONTROLLING INTERESTS</w:t>
      </w:r>
    </w:p>
    <w:p>
      <w:pPr>
        <w:spacing w:after="0" w:line="175"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Certain redeemable noncontrolling interests in the Partnership’s subsidiaries are reflected as mezzanine equity on the consolidated balance sheets. Redeemable noncontrolling interests as of March 31, 2021 included a balance of $477 million related to the USAC Preferred Units described below and a balance of $15 million related to noncontrolling interest holders in one of the Partnership’s consolidated subsidiaries that have the option to sell their interests to the Partnership. In addition, redeemable noncontrolling interests includes a balance of $277 million related to Energy Transfer Canada preferred shares.</w:t>
      </w:r>
    </w:p>
    <w:p>
      <w:pPr>
        <w:spacing w:after="0" w:line="1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USAC Preferred Units</w:t>
      </w:r>
    </w:p>
    <w:p>
      <w:pPr>
        <w:spacing w:after="0" w:line="171"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As of March 31, 2021, USAC had 500,000 USAC Preferred Units issued and outstanding. The USAC Preferred Units are entitled to receive cumulative quarterly distributions equal to $24.375 per USAC Preferred Unit, subject to increase in certain limited circumstances. The USAC Preferred Units will have a perpetual term, unless converted or redeemed. Certain portions of the USAC Preferred Units will be convertible into USAC common units at the election of the holders beginning in 2021. To the extent the holders of the USAC Preferred Units have not elected to convert their preferred units by the fifth anniversary of the issue date, USAC will have the option to redeem all or any portion of the USAC Preferred Units for cash. In addition, at any time on or after the tenth anniversary of the issue date, the holders of the USAC</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Preferred Units will have the right to require USAC to redeem all or any portion of the USAC Preferred Units, and the Partnership may elect to pay up to 50% of such redemption amount in USAC common units.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Energy Transfer Canada Redeemable Preferred Stock</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Energy Transfer Canada has 300,000 shares of cumulative preferred stock issued and outstanding. The preferred stock is redeemable at Energy Transfer Canada’s option at a redemption price of C$1,100 (US$875 at the March 31, 2021 exchange rate) per share. The preferred stock is redeemable by the holder contingent upon a change of control or liquidation of Energy Transfer Canada. The preferred stock is convertible to Energy Transfer Canada common shares in the event of an initial public offering by Energy Transfer Canada.</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Dividends on the preferred stock are payable in-kind through the quarter ending June 30, 2021. The dividends paid-in-kind increased the liquidation preference such that, as of March 31, 2021, the preferred stock was convertible into 351,954 shares.</w:t>
      </w:r>
    </w:p>
    <w:p>
      <w:pPr>
        <w:spacing w:after="0" w:line="11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ET Common Units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change in ET common units during the three months ended March 31, 2021 was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260" w:type="dxa"/>
            <w:vAlign w:val="bottom"/>
          </w:tcPr>
          <w:p>
            <w:pPr>
              <w:spacing w:after="0"/>
              <w:rPr>
                <w:sz w:val="17"/>
                <w:szCs w:val="17"/>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Number of</w:t>
            </w:r>
          </w:p>
        </w:tc>
      </w:tr>
      <w:tr>
        <w:trPr>
          <w:trHeight w:val="229"/>
        </w:trPr>
        <w:tc>
          <w:tcPr>
            <w:tcW w:w="92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Units</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common units at December 31, 2020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2,702.4</w:t>
            </w:r>
          </w:p>
        </w:tc>
      </w:tr>
      <w:tr>
        <w:trPr>
          <w:trHeight w:val="229"/>
        </w:trPr>
        <w:tc>
          <w:tcPr>
            <w:tcW w:w="9260" w:type="dxa"/>
            <w:vAlign w:val="bottom"/>
          </w:tcPr>
          <w:p>
            <w:pPr>
              <w:ind w:left="180"/>
              <w:spacing w:after="0"/>
              <w:rPr>
                <w:sz w:val="20"/>
                <w:szCs w:val="20"/>
                <w:color w:val="auto"/>
              </w:rPr>
            </w:pPr>
            <w:r>
              <w:rPr>
                <w:rFonts w:ascii="Arial" w:cs="Arial" w:eastAsia="Arial" w:hAnsi="Arial"/>
                <w:sz w:val="18"/>
                <w:szCs w:val="18"/>
                <w:color w:val="auto"/>
              </w:rPr>
              <w:t>Common units issued in connection with the distribution reinvestment plan</w:t>
            </w: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units vested under equity incentive plans and other</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Number of common units at March 31,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2,703.5</w:t>
            </w:r>
          </w:p>
        </w:tc>
      </w:tr>
      <w:tr>
        <w:trPr>
          <w:trHeight w:val="21"/>
        </w:trPr>
        <w:tc>
          <w:tcPr>
            <w:tcW w:w="9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Repurchase Program</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During the three months ended March 31, 2021, ET did not repurchase any ET common units under its current buyback program. As of March 31, 2021, $911 million remained available to repurchase under the current program.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Distribution Reinvestment Program</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During the three months ended March 31, 2021, distributions of $6 million were reinvested under the distribution reinvestment program. As of March 31, 2021, a total of 20 million ET common units remain available to be issued under the existing registration statement in connection with the distribution reinvestment program.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Distributions on ET Common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declared and/or paid with respect to ET common units subsequent to December 31, 2020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20" w:type="dxa"/>
            <w:vAlign w:val="bottom"/>
            <w:gridSpan w:val="2"/>
          </w:tcPr>
          <w:p>
            <w:pPr>
              <w:ind w:left="720"/>
              <w:spacing w:after="0"/>
              <w:rPr>
                <w:sz w:val="20"/>
                <w:szCs w:val="20"/>
                <w:color w:val="auto"/>
              </w:rPr>
            </w:pPr>
            <w:r>
              <w:rPr>
                <w:rFonts w:ascii="Arial" w:cs="Arial" w:eastAsia="Arial" w:hAnsi="Arial"/>
                <w:sz w:val="18"/>
                <w:szCs w:val="18"/>
                <w:color w:val="auto"/>
              </w:rPr>
              <w:t>Quarter Ended</w:t>
            </w:r>
          </w:p>
        </w:tc>
        <w:tc>
          <w:tcPr>
            <w:tcW w:w="2640" w:type="dxa"/>
            <w:vAlign w:val="bottom"/>
            <w:gridSpan w:val="2"/>
          </w:tcPr>
          <w:p>
            <w:pPr>
              <w:ind w:left="800"/>
              <w:spacing w:after="0"/>
              <w:rPr>
                <w:sz w:val="20"/>
                <w:szCs w:val="20"/>
                <w:color w:val="auto"/>
              </w:rPr>
            </w:pPr>
            <w:r>
              <w:rPr>
                <w:rFonts w:ascii="Arial" w:cs="Arial" w:eastAsia="Arial" w:hAnsi="Arial"/>
                <w:sz w:val="18"/>
                <w:szCs w:val="18"/>
                <w:color w:val="auto"/>
              </w:rPr>
              <w:t>Record Date</w:t>
            </w:r>
          </w:p>
        </w:tc>
        <w:tc>
          <w:tcPr>
            <w:tcW w:w="2640" w:type="dxa"/>
            <w:vAlign w:val="bottom"/>
            <w:gridSpan w:val="2"/>
          </w:tcPr>
          <w:p>
            <w:pPr>
              <w:ind w:left="760"/>
              <w:spacing w:after="0"/>
              <w:rPr>
                <w:sz w:val="20"/>
                <w:szCs w:val="20"/>
                <w:color w:val="auto"/>
              </w:rPr>
            </w:pPr>
            <w:r>
              <w:rPr>
                <w:rFonts w:ascii="Arial" w:cs="Arial" w:eastAsia="Arial" w:hAnsi="Arial"/>
                <w:sz w:val="18"/>
                <w:szCs w:val="18"/>
                <w:color w:val="auto"/>
              </w:rPr>
              <w:t>Payment Date</w:t>
            </w:r>
          </w:p>
        </w:tc>
        <w:tc>
          <w:tcPr>
            <w:tcW w:w="620" w:type="dxa"/>
            <w:vAlign w:val="bottom"/>
          </w:tcPr>
          <w:p>
            <w:pPr>
              <w:spacing w:after="0"/>
              <w:rPr>
                <w:sz w:val="20"/>
                <w:szCs w:val="20"/>
                <w:color w:val="auto"/>
              </w:rPr>
            </w:pPr>
          </w:p>
        </w:tc>
        <w:tc>
          <w:tcPr>
            <w:tcW w:w="1940" w:type="dxa"/>
            <w:vAlign w:val="bottom"/>
          </w:tcPr>
          <w:p>
            <w:pPr>
              <w:jc w:val="right"/>
              <w:ind w:right="1010"/>
              <w:spacing w:after="0"/>
              <w:rPr>
                <w:sz w:val="20"/>
                <w:szCs w:val="20"/>
                <w:color w:val="auto"/>
              </w:rPr>
            </w:pPr>
            <w:r>
              <w:rPr>
                <w:rFonts w:ascii="Arial" w:cs="Arial" w:eastAsia="Arial" w:hAnsi="Arial"/>
                <w:sz w:val="18"/>
                <w:szCs w:val="18"/>
                <w:color w:val="auto"/>
              </w:rPr>
              <w:t>Rate</w:t>
            </w: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8, 2021</w:t>
            </w:r>
          </w:p>
        </w:tc>
        <w:tc>
          <w:tcPr>
            <w:tcW w:w="12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19, 2021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0.1525</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March 31, 2021</w:t>
            </w:r>
          </w:p>
        </w:tc>
        <w:tc>
          <w:tcPr>
            <w:tcW w:w="2640" w:type="dxa"/>
            <w:vAlign w:val="bottom"/>
            <w:gridSpan w:val="2"/>
          </w:tcPr>
          <w:p>
            <w:pPr>
              <w:spacing w:after="0"/>
              <w:rPr>
                <w:sz w:val="20"/>
                <w:szCs w:val="20"/>
                <w:color w:val="auto"/>
              </w:rPr>
            </w:pPr>
            <w:r>
              <w:rPr>
                <w:rFonts w:ascii="Arial" w:cs="Arial" w:eastAsia="Arial" w:hAnsi="Arial"/>
                <w:sz w:val="18"/>
                <w:szCs w:val="18"/>
                <w:color w:val="auto"/>
              </w:rPr>
              <w:t>May 11, 2021</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May 19, 2021</w:t>
            </w:r>
          </w:p>
        </w:tc>
        <w:tc>
          <w:tcPr>
            <w:tcW w:w="6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0.1525</w:t>
            </w:r>
          </w:p>
        </w:tc>
      </w:tr>
    </w:tbl>
    <w:p>
      <w:pPr>
        <w:spacing w:after="0" w:line="14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Partnership’s distribution on its common units with respect to the quarter ended March 31, 2020 was declared on March 31, 2020 and accrued as of that date. For the three months ended March 31, 2020, the consolidated statement of equity reflects distributions to common unitholders for two quarters.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ET Preferred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 of ETO Preferred Units to ET Preferred Units</w:t>
      </w:r>
    </w:p>
    <w:p>
      <w:pPr>
        <w:spacing w:after="0" w:line="17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In connection with the Rollup Mergers on April 1, 2021, as discussed in Note 1, all of ETO’s previously outstanding preferred units were converted to ET Preferred Units with identical distribution and redemption rights, as described under “Description of ET Preferred Units” below.</w:t>
      </w:r>
    </w:p>
    <w:p>
      <w:pPr>
        <w:spacing w:after="0" w:line="9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of and prior to March 31, 2021, the ET Preferred Units were reflected as noncontrolling interests on the Partnership’s consolidated financial statements. Beginning April 1, 2021, the ET Preferred Units will be reflected as limited partner interests in the Partnership’s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Distributions on ET Preferred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declared on the ET Preferred Units were as follows:</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264"/>
        </w:trPr>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98"/>
              </w:rPr>
              <w:t>Period Ended</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Record Date</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Payment Date</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5"/>
              </w:rPr>
              <w:t xml:space="preserve">Series A </w:t>
            </w:r>
            <w:r>
              <w:rPr>
                <w:rFonts w:ascii="Arial" w:cs="Arial" w:eastAsia="Arial" w:hAnsi="Arial"/>
                <w:sz w:val="21"/>
                <w:szCs w:val="21"/>
                <w:color w:val="auto"/>
                <w:w w:val="85"/>
                <w:vertAlign w:val="superscript"/>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7"/>
              </w:rPr>
              <w:t xml:space="preserve">Series B </w:t>
            </w:r>
            <w:r>
              <w:rPr>
                <w:rFonts w:ascii="Arial" w:cs="Arial" w:eastAsia="Arial" w:hAnsi="Arial"/>
                <w:sz w:val="21"/>
                <w:szCs w:val="2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Series C</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Series D</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Series E</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4"/>
              </w:rPr>
              <w:t xml:space="preserve">Series F </w:t>
            </w:r>
            <w:r>
              <w:rPr>
                <w:rFonts w:ascii="Arial" w:cs="Arial" w:eastAsia="Arial" w:hAnsi="Arial"/>
                <w:sz w:val="23"/>
                <w:szCs w:val="23"/>
                <w:color w:val="auto"/>
                <w:w w:val="84"/>
                <w:vertAlign w:val="superscript"/>
              </w:rPr>
              <w:t>(1)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4"/>
              </w:rPr>
              <w:t xml:space="preserve">Series G </w:t>
            </w:r>
            <w:r>
              <w:rPr>
                <w:rFonts w:ascii="Arial" w:cs="Arial" w:eastAsia="Arial" w:hAnsi="Arial"/>
                <w:sz w:val="23"/>
                <w:szCs w:val="23"/>
                <w:color w:val="auto"/>
                <w:w w:val="84"/>
                <w:vertAlign w:val="superscript"/>
              </w:rPr>
              <w:t>(1)</w:t>
            </w:r>
          </w:p>
        </w:tc>
      </w:tr>
      <w:tr>
        <w:trPr>
          <w:trHeight w:val="159"/>
        </w:trPr>
        <w:tc>
          <w:tcPr>
            <w:tcW w:w="12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December 31,</w:t>
            </w:r>
          </w:p>
        </w:tc>
        <w:tc>
          <w:tcPr>
            <w:tcW w:w="11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February 1,</w:t>
            </w:r>
          </w:p>
        </w:tc>
        <w:tc>
          <w:tcPr>
            <w:tcW w:w="128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February 16,</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31.25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33.125</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  0.4609</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  0.4766</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  0.4750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1080" w:type="dxa"/>
            <w:vAlign w:val="bottom"/>
            <w:gridSpan w:val="3"/>
            <w:shd w:val="clear" w:color="auto" w:fill="CCEEFF"/>
          </w:tcPr>
          <w:p>
            <w:pPr>
              <w:ind w:left="640"/>
              <w:spacing w:after="0" w:line="159" w:lineRule="exact"/>
              <w:rPr>
                <w:sz w:val="20"/>
                <w:szCs w:val="20"/>
                <w:color w:val="auto"/>
              </w:rPr>
            </w:pPr>
            <w:r>
              <w:rPr>
                <w:rFonts w:ascii="Arial" w:cs="Arial" w:eastAsia="Arial" w:hAnsi="Arial"/>
                <w:sz w:val="16"/>
                <w:szCs w:val="16"/>
                <w:color w:val="auto"/>
              </w:rPr>
              <w:t>—   $</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w:t>
            </w:r>
          </w:p>
        </w:tc>
      </w:tr>
      <w:tr>
        <w:trPr>
          <w:trHeight w:val="212"/>
        </w:trPr>
        <w:tc>
          <w:tcPr>
            <w:tcW w:w="108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2020 </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March 31, 2021</w:t>
            </w:r>
          </w:p>
        </w:tc>
        <w:tc>
          <w:tcPr>
            <w:tcW w:w="1160" w:type="dxa"/>
            <w:vAlign w:val="bottom"/>
            <w:gridSpan w:val="2"/>
          </w:tcPr>
          <w:p>
            <w:pPr>
              <w:ind w:left="20"/>
              <w:spacing w:after="0"/>
              <w:rPr>
                <w:sz w:val="20"/>
                <w:szCs w:val="20"/>
                <w:color w:val="auto"/>
              </w:rPr>
            </w:pPr>
            <w:r>
              <w:rPr>
                <w:rFonts w:ascii="Arial" w:cs="Arial" w:eastAsia="Arial" w:hAnsi="Arial"/>
                <w:sz w:val="16"/>
                <w:szCs w:val="16"/>
                <w:color w:val="auto"/>
              </w:rPr>
              <w:t>May 3, 2021</w:t>
            </w:r>
          </w:p>
        </w:tc>
        <w:tc>
          <w:tcPr>
            <w:tcW w:w="1280" w:type="dxa"/>
            <w:vAlign w:val="bottom"/>
            <w:gridSpan w:val="2"/>
          </w:tcPr>
          <w:p>
            <w:pPr>
              <w:ind w:left="20"/>
              <w:spacing w:after="0"/>
              <w:rPr>
                <w:sz w:val="20"/>
                <w:szCs w:val="20"/>
                <w:color w:val="auto"/>
              </w:rPr>
            </w:pPr>
            <w:r>
              <w:rPr>
                <w:rFonts w:ascii="Arial" w:cs="Arial" w:eastAsia="Arial" w:hAnsi="Arial"/>
                <w:sz w:val="16"/>
                <w:szCs w:val="16"/>
                <w:color w:val="auto"/>
              </w:rPr>
              <w:t>May 17, 2021</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0.4609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0.4766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0.4750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35.63</w:t>
            </w:r>
          </w:p>
        </w:tc>
      </w:tr>
    </w:tbl>
    <w:p>
      <w:pPr>
        <w:spacing w:after="0" w:line="66"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Series A, Series B, Series F and Series G distributions are paid on a semi-annual basis.</w:t>
      </w:r>
    </w:p>
    <w:p>
      <w:pPr>
        <w:spacing w:after="0" w:line="93"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Distributions for the period ended December 31, 2020 reflect distributions paid on the ETO preferred units prior to the conversion to ET Preferred Units, as discussed above.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ET Preferred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summary of the distribution and redemption rights associated with the ET Preferred Units:</w:t>
      </w:r>
    </w:p>
    <w:p>
      <w:pPr>
        <w:spacing w:after="0" w:line="117" w:lineRule="exact"/>
        <w:rPr>
          <w:sz w:val="20"/>
          <w:szCs w:val="20"/>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Series A Preferred Units</w:t>
      </w:r>
      <w:r>
        <w:rPr>
          <w:rFonts w:ascii="Arial" w:cs="Arial" w:eastAsia="Arial" w:hAnsi="Arial"/>
          <w:sz w:val="18"/>
          <w:szCs w:val="18"/>
          <w:color w:val="auto"/>
        </w:rPr>
        <w:t>. Distributions on the Series A Preferred Units will accrue and be cumulative to, but excluding, February 15, 2023, at a</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6.250% per annum of the stated liquidation preference of $1,000. On and after February 15, 2023, distributions on the Series A Preferred Units will accumulate at a percentage of the $1,000 liquidation preference equal to an annual floating rate of the three-month LIBOR, determined quarterly, plus a spread of 4.028% per annum. Distributions on the Series A Preferred Units will be payable semi-annually in arrears on the 15th day of February and August of each year. The Series A Preferred Units are redeemable at ET’s option on or after February 15, 2023 at a redemption price of $1,000 per Series A Preferred Unit, plus an amount equal to all accumulated and unpaid distributions thereon to, but excluding, the date of redemption.</w:t>
      </w:r>
    </w:p>
    <w:p>
      <w:pPr>
        <w:spacing w:after="0" w:line="86"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Series B Preferred Units. </w:t>
      </w:r>
      <w:r>
        <w:rPr>
          <w:rFonts w:ascii="Arial" w:cs="Arial" w:eastAsia="Arial" w:hAnsi="Arial"/>
          <w:sz w:val="18"/>
          <w:szCs w:val="18"/>
          <w:color w:val="auto"/>
        </w:rPr>
        <w:t>Distributions on the Series B Preferred Units will accrue and be cumulative to, but excluding, February 15, 2028, at a</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6.625% per annum of the stated liquidation preference of $1,000. On and after February 15, 2028, distributions on the Series B Preferred Units will accumulate at a percentage of the $1,000 liquidation preference equal to an annual floating rate of the three-month LIBOR, determined quarterly, plus a spread of 4.155% per annum. Distributions on the Series B Preferred Units will be payable semi-annually in arrears on the 15th day of February and August of each year. The Series B Preferred Units are redeemable at ET’s option on or after February 15, 2028 at a redemption price of $1,000 per Series B Preferred Unit, plus an amount equal to all accumulated and unpaid distributions thereon to, but excluding, the date of redemption.</w:t>
      </w:r>
    </w:p>
    <w:p>
      <w:pPr>
        <w:spacing w:after="0" w:line="86"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Series C Preferred Units. </w:t>
      </w:r>
      <w:r>
        <w:rPr>
          <w:rFonts w:ascii="Arial" w:cs="Arial" w:eastAsia="Arial" w:hAnsi="Arial"/>
          <w:sz w:val="18"/>
          <w:szCs w:val="18"/>
          <w:color w:val="auto"/>
        </w:rPr>
        <w:t>Distributions on the Series C Preferred Units will accrue and be cumulative to, but excluding, May 15, 2023, at a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7.375% per annum of the stated liquidation preference of $25. On and after May 15, 2023, distributions on the Series C Preferred Units will accumulate at a percentage of the $25 liquidation preference equal to an annual floating rate of the three-month LIBOR, determined quarterly, plus a spread of 4.530% per annum. Distributions on the Series C Preferred Units will be payable quarterly in arrears on the 15th day of February, May, August and November of each year. The Series C Preferred Units are redeemable at ET’s option on or after May 15, 2023 at a redemption price of $25 per Series C Preferred Unit, plus an amount equal to all accumulated and unpaid distributions thereon to, but excluding, the date of redemption.</w:t>
      </w:r>
    </w:p>
    <w:p>
      <w:pPr>
        <w:spacing w:after="0" w:line="86"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Series D Preferred Units. </w:t>
      </w:r>
      <w:r>
        <w:rPr>
          <w:rFonts w:ascii="Arial" w:cs="Arial" w:eastAsia="Arial" w:hAnsi="Arial"/>
          <w:sz w:val="18"/>
          <w:szCs w:val="18"/>
          <w:color w:val="auto"/>
        </w:rPr>
        <w:t>Distributions on the Series D Preferred Units will accrue and be cumulative to, but excluding, August 15, 2023, at a rate</w:t>
      </w:r>
      <w:r>
        <w:rPr>
          <w:rFonts w:ascii="Arial" w:cs="Arial" w:eastAsia="Arial" w:hAnsi="Arial"/>
          <w:sz w:val="18"/>
          <w:szCs w:val="18"/>
          <w:i w:val="1"/>
          <w:iCs w:val="1"/>
          <w:color w:val="auto"/>
        </w:rPr>
        <w:t xml:space="preserve"> </w:t>
      </w:r>
      <w:r>
        <w:rPr>
          <w:rFonts w:ascii="Arial" w:cs="Arial" w:eastAsia="Arial" w:hAnsi="Arial"/>
          <w:sz w:val="18"/>
          <w:szCs w:val="18"/>
          <w:color w:val="auto"/>
        </w:rPr>
        <w:t>of 7.625% per annum of the stated liquidation preference of $25. On and after August 15, 2023, distributions on the Series D Preferred Units will accumulate at a percentage of the $25 liquidation preference equal to an annual floating rate of the three-month LIBOR, determined quarterly, plus a spread of 4.738% per annum. Distributions on the Series D Preferred Units will be payable quarterly in arrears on the 15th day of February, May, August and November of each year. The Series D Preferred Units are redeemable at ET’s option on or after August 15, 2023 at a redemption price of $25 per Series D Preferred Unit, plus an amount equal to all accumulated and unpaid distributions thereon to, but excluding, the date of redemption.</w:t>
      </w:r>
    </w:p>
    <w:p>
      <w:pPr>
        <w:spacing w:after="0" w:line="86"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Series E Preferred Units. </w:t>
      </w:r>
      <w:r>
        <w:rPr>
          <w:rFonts w:ascii="Arial" w:cs="Arial" w:eastAsia="Arial" w:hAnsi="Arial"/>
          <w:sz w:val="18"/>
          <w:szCs w:val="18"/>
          <w:color w:val="auto"/>
        </w:rPr>
        <w:t>Distributions on the Series E Preferred Units will accrue and be cumulative to, but excluding, May 15, 2024, at a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7.600% per annum of the stated liquidation preference of $25. On and after May 15, 2024, distributions on the Series E Preferred Units will accumulate at a percentage of the $25 liquidation preference equal to an annual floating rate of the three-month LIBOR, determined quarterly, plus a spread of 5.161% per annum. Distributions on the Series E Preferred Units will be payable quarterly in arrears on the 15th day of February, May, August and November of each year. The Series E Preferred Units are redeemable at ET’s option on or after May 15, 2024 at a redemption price of $25 per Series E Preferred Unit, plus an amount equal to all accumulated and unpaid distributions thereon to, but excluding, the date of redemption.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73"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Series F Preferred Units. </w:t>
      </w:r>
      <w:r>
        <w:rPr>
          <w:rFonts w:ascii="Arial" w:cs="Arial" w:eastAsia="Arial" w:hAnsi="Arial"/>
          <w:sz w:val="17"/>
          <w:szCs w:val="17"/>
          <w:color w:val="auto"/>
        </w:rPr>
        <w:t>Distributions on the Series F Preferred Units will accrue and be cumulative to, but excluding, May 15, 2025, at a rate</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6.750% per annum of the $1,000 liquidation preference. On and after May 15, 2025, the distribution rate on the Series F Preferred Units will equal a percentage of the $1,000 liquidation preference equal to the five-year U.S. treasury rate plus a spread of 5.134% per annum. Distributions on the Series F Preferred Units will be payable semi-annually in arrears on the 15th day of May and November of each year. The Series F Preferred Units are redeemable at ET’s option on or after May 15, 2025 at a redemption price of $1,000 per Series F Preferred Unit, plus an amount equal to all accumulated and unpaid distributions thereon to, but excluding, the date of redemption.</w:t>
      </w:r>
    </w:p>
    <w:p>
      <w:pPr>
        <w:spacing w:after="0" w:line="69" w:lineRule="exact"/>
        <w:rPr>
          <w:rFonts w:ascii="Arial" w:cs="Arial" w:eastAsia="Arial" w:hAnsi="Arial"/>
          <w:sz w:val="17"/>
          <w:szCs w:val="17"/>
          <w:color w:val="auto"/>
        </w:rPr>
      </w:pPr>
    </w:p>
    <w:p>
      <w:pPr>
        <w:jc w:val="both"/>
        <w:ind w:left="660" w:hanging="328"/>
        <w:spacing w:after="0" w:line="273"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Series G Preferred Units. </w:t>
      </w:r>
      <w:r>
        <w:rPr>
          <w:rFonts w:ascii="Arial" w:cs="Arial" w:eastAsia="Arial" w:hAnsi="Arial"/>
          <w:sz w:val="17"/>
          <w:szCs w:val="17"/>
          <w:color w:val="auto"/>
        </w:rPr>
        <w:t>Distributions on the Series G Preferred Units will accrue and be cumulative to, but excluding, May 15, 2030, at a rate</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7.125% per annum of the $1,000 liquidation preference. On and after May 15, 2030, the distribution rate on the Series G Preferred Units will equal a percentage of the $1,000 liquidation preference equal to the five-year U.S. treasury rate plus a spread of 5.306% per annum. Distributions on the Series G Preferred Units will be payable semi-annually in arrears on the 15th day of May and November of each year. The Series G Preferred Units are redeemable at ET’s option on or after May 15, 2030 at a redemption price of $1,000 per Series G Preferred Unit, plus an amount equal to all accumulated and unpaid distributions thereon to, but excluding, the date of redemption.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Noncontrolling Interests</w:t>
      </w:r>
    </w:p>
    <w:p>
      <w:pPr>
        <w:spacing w:after="0" w:line="17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Partnership’s consolidated financial statements include Sunoco LP and USAC, both of which are publicly traded master limited partnerships, as well as other less-than-wholly-owned, consolidated joint ventures. The following sections describe cash distributions made by our publicly traded subsidiaries, Sunoco LP and USAC, both of which are required by their respective partnership agreements to distribute all cash on hand (less appropriate reserves determined by the boards of directors of their respective general partners) subsequent to the end of each quarter.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 Cash Distributions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on Sunoco LP’s units declared and/or paid by Sunoco LP subsequent to December 31, 2020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20" w:type="dxa"/>
            <w:vAlign w:val="bottom"/>
            <w:gridSpan w:val="2"/>
          </w:tcPr>
          <w:p>
            <w:pPr>
              <w:ind w:left="720"/>
              <w:spacing w:after="0"/>
              <w:rPr>
                <w:sz w:val="20"/>
                <w:szCs w:val="20"/>
                <w:color w:val="auto"/>
              </w:rPr>
            </w:pPr>
            <w:r>
              <w:rPr>
                <w:rFonts w:ascii="Arial" w:cs="Arial" w:eastAsia="Arial" w:hAnsi="Arial"/>
                <w:sz w:val="18"/>
                <w:szCs w:val="18"/>
                <w:color w:val="auto"/>
              </w:rPr>
              <w:t>Quarter Ended</w:t>
            </w:r>
          </w:p>
        </w:tc>
        <w:tc>
          <w:tcPr>
            <w:tcW w:w="2640" w:type="dxa"/>
            <w:vAlign w:val="bottom"/>
            <w:gridSpan w:val="2"/>
          </w:tcPr>
          <w:p>
            <w:pPr>
              <w:ind w:left="800"/>
              <w:spacing w:after="0"/>
              <w:rPr>
                <w:sz w:val="20"/>
                <w:szCs w:val="20"/>
                <w:color w:val="auto"/>
              </w:rPr>
            </w:pPr>
            <w:r>
              <w:rPr>
                <w:rFonts w:ascii="Arial" w:cs="Arial" w:eastAsia="Arial" w:hAnsi="Arial"/>
                <w:sz w:val="18"/>
                <w:szCs w:val="18"/>
                <w:color w:val="auto"/>
              </w:rPr>
              <w:t>Record Date</w:t>
            </w:r>
          </w:p>
        </w:tc>
        <w:tc>
          <w:tcPr>
            <w:tcW w:w="2640" w:type="dxa"/>
            <w:vAlign w:val="bottom"/>
            <w:gridSpan w:val="2"/>
          </w:tcPr>
          <w:p>
            <w:pPr>
              <w:ind w:left="760"/>
              <w:spacing w:after="0"/>
              <w:rPr>
                <w:sz w:val="20"/>
                <w:szCs w:val="20"/>
                <w:color w:val="auto"/>
              </w:rPr>
            </w:pPr>
            <w:r>
              <w:rPr>
                <w:rFonts w:ascii="Arial" w:cs="Arial" w:eastAsia="Arial" w:hAnsi="Arial"/>
                <w:sz w:val="18"/>
                <w:szCs w:val="18"/>
                <w:color w:val="auto"/>
              </w:rPr>
              <w:t>Payment Date</w:t>
            </w:r>
          </w:p>
        </w:tc>
        <w:tc>
          <w:tcPr>
            <w:tcW w:w="620" w:type="dxa"/>
            <w:vAlign w:val="bottom"/>
          </w:tcPr>
          <w:p>
            <w:pPr>
              <w:spacing w:after="0"/>
              <w:rPr>
                <w:sz w:val="20"/>
                <w:szCs w:val="20"/>
                <w:color w:val="auto"/>
              </w:rPr>
            </w:pPr>
          </w:p>
        </w:tc>
        <w:tc>
          <w:tcPr>
            <w:tcW w:w="1940" w:type="dxa"/>
            <w:vAlign w:val="bottom"/>
          </w:tcPr>
          <w:p>
            <w:pPr>
              <w:jc w:val="right"/>
              <w:ind w:right="1010"/>
              <w:spacing w:after="0"/>
              <w:rPr>
                <w:sz w:val="20"/>
                <w:szCs w:val="20"/>
                <w:color w:val="auto"/>
              </w:rPr>
            </w:pPr>
            <w:r>
              <w:rPr>
                <w:rFonts w:ascii="Arial" w:cs="Arial" w:eastAsia="Arial" w:hAnsi="Arial"/>
                <w:sz w:val="18"/>
                <w:szCs w:val="18"/>
                <w:color w:val="auto"/>
              </w:rPr>
              <w:t>Rate</w:t>
            </w: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8, 2021</w:t>
            </w:r>
          </w:p>
        </w:tc>
        <w:tc>
          <w:tcPr>
            <w:tcW w:w="12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19, 2021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March 31, 2021</w:t>
            </w:r>
          </w:p>
        </w:tc>
        <w:tc>
          <w:tcPr>
            <w:tcW w:w="2640" w:type="dxa"/>
            <w:vAlign w:val="bottom"/>
            <w:gridSpan w:val="2"/>
          </w:tcPr>
          <w:p>
            <w:pPr>
              <w:spacing w:after="0"/>
              <w:rPr>
                <w:sz w:val="20"/>
                <w:szCs w:val="20"/>
                <w:color w:val="auto"/>
              </w:rPr>
            </w:pPr>
            <w:r>
              <w:rPr>
                <w:rFonts w:ascii="Arial" w:cs="Arial" w:eastAsia="Arial" w:hAnsi="Arial"/>
                <w:sz w:val="18"/>
                <w:szCs w:val="18"/>
                <w:color w:val="auto"/>
              </w:rPr>
              <w:t>May 11, 2021</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May 19, 2021</w:t>
            </w:r>
          </w:p>
        </w:tc>
        <w:tc>
          <w:tcPr>
            <w:tcW w:w="6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0.8255</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 Cash Distributions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on USAC’s units declared and/or paid by USAC subsequent to December 31, 2020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620" w:type="dxa"/>
            <w:vAlign w:val="bottom"/>
            <w:gridSpan w:val="2"/>
          </w:tcPr>
          <w:p>
            <w:pPr>
              <w:ind w:left="720"/>
              <w:spacing w:after="0"/>
              <w:rPr>
                <w:sz w:val="20"/>
                <w:szCs w:val="20"/>
                <w:color w:val="auto"/>
              </w:rPr>
            </w:pPr>
            <w:r>
              <w:rPr>
                <w:rFonts w:ascii="Arial" w:cs="Arial" w:eastAsia="Arial" w:hAnsi="Arial"/>
                <w:sz w:val="18"/>
                <w:szCs w:val="18"/>
                <w:color w:val="auto"/>
              </w:rPr>
              <w:t>Quarter Ended</w:t>
            </w:r>
          </w:p>
        </w:tc>
        <w:tc>
          <w:tcPr>
            <w:tcW w:w="2520" w:type="dxa"/>
            <w:vAlign w:val="bottom"/>
          </w:tcPr>
          <w:p>
            <w:pPr>
              <w:ind w:left="800"/>
              <w:spacing w:after="0"/>
              <w:rPr>
                <w:sz w:val="20"/>
                <w:szCs w:val="20"/>
                <w:color w:val="auto"/>
              </w:rPr>
            </w:pPr>
            <w:r>
              <w:rPr>
                <w:rFonts w:ascii="Arial" w:cs="Arial" w:eastAsia="Arial" w:hAnsi="Arial"/>
                <w:sz w:val="18"/>
                <w:szCs w:val="18"/>
                <w:color w:val="auto"/>
              </w:rPr>
              <w:t>Record Date</w:t>
            </w:r>
          </w:p>
        </w:tc>
        <w:tc>
          <w:tcPr>
            <w:tcW w:w="120" w:type="dxa"/>
            <w:vAlign w:val="bottom"/>
          </w:tcPr>
          <w:p>
            <w:pPr>
              <w:spacing w:after="0"/>
              <w:rPr>
                <w:sz w:val="20"/>
                <w:szCs w:val="20"/>
                <w:color w:val="auto"/>
              </w:rPr>
            </w:pPr>
          </w:p>
        </w:tc>
        <w:tc>
          <w:tcPr>
            <w:tcW w:w="2320" w:type="dxa"/>
            <w:vAlign w:val="bottom"/>
          </w:tcPr>
          <w:p>
            <w:pPr>
              <w:ind w:left="760"/>
              <w:spacing w:after="0"/>
              <w:rPr>
                <w:sz w:val="20"/>
                <w:szCs w:val="20"/>
                <w:color w:val="auto"/>
              </w:rPr>
            </w:pPr>
            <w:r>
              <w:rPr>
                <w:rFonts w:ascii="Arial" w:cs="Arial" w:eastAsia="Arial" w:hAnsi="Arial"/>
                <w:sz w:val="18"/>
                <w:szCs w:val="18"/>
                <w:color w:val="auto"/>
              </w:rPr>
              <w:t>Payment Date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4"/>
          </w:tcPr>
          <w:p>
            <w:pPr>
              <w:ind w:left="4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25, 2021</w:t>
            </w:r>
          </w:p>
        </w:tc>
        <w:tc>
          <w:tcPr>
            <w:tcW w:w="12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5, 2021</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March 31, 2021</w:t>
            </w:r>
          </w:p>
        </w:tc>
        <w:tc>
          <w:tcPr>
            <w:tcW w:w="2520" w:type="dxa"/>
            <w:vAlign w:val="bottom"/>
          </w:tcPr>
          <w:p>
            <w:pPr>
              <w:spacing w:after="0"/>
              <w:rPr>
                <w:sz w:val="20"/>
                <w:szCs w:val="20"/>
                <w:color w:val="auto"/>
              </w:rPr>
            </w:pPr>
            <w:r>
              <w:rPr>
                <w:rFonts w:ascii="Arial" w:cs="Arial" w:eastAsia="Arial" w:hAnsi="Arial"/>
                <w:sz w:val="18"/>
                <w:szCs w:val="18"/>
                <w:color w:val="auto"/>
              </w:rPr>
              <w:t>April 26, 2021</w:t>
            </w:r>
          </w:p>
        </w:tc>
        <w:tc>
          <w:tcPr>
            <w:tcW w:w="12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May 7, 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4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w w:val="99"/>
              </w:rPr>
              <w:t>The following table presents the components of AOCI, net of tax:</w:t>
            </w: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w w:val="89"/>
              </w:rPr>
              <w:t>March 31,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5"/>
              </w:rPr>
              <w:t>Actuarial loss related to pensions and other postretirement benefits</w:t>
            </w: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Investments in unconsolidated affiliates, net</w:t>
            </w:r>
          </w:p>
        </w:tc>
        <w:tc>
          <w:tcPr>
            <w:tcW w:w="12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AOCI, net of tax</w:t>
            </w: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Amounts attributable to noncontrolling interest</w:t>
            </w:r>
          </w:p>
        </w:tc>
        <w:tc>
          <w:tcPr>
            <w:tcW w:w="12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AOCI included in partners’ capital,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gridSpan w:val="2"/>
            <w:vMerge w:val="restart"/>
          </w:tcPr>
          <w:p>
            <w:pPr>
              <w:jc w:val="right"/>
              <w:ind w:right="211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7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Partnership’s effective tax rate differs from the statutory rate primarily due to partnership earnings that are not subject to United States federal and most state income taxes at the partnership level.</w:t>
      </w:r>
    </w:p>
    <w:p>
      <w:pPr>
        <w:spacing w:after="0" w:line="112" w:lineRule="exact"/>
        <w:rPr>
          <w:rFonts w:ascii="Arial" w:cs="Arial" w:eastAsia="Arial" w:hAnsi="Arial"/>
          <w:sz w:val="18"/>
          <w:szCs w:val="18"/>
          <w:b w:val="1"/>
          <w:bCs w:val="1"/>
          <w:color w:val="auto"/>
        </w:rPr>
      </w:pPr>
    </w:p>
    <w:p>
      <w:pPr>
        <w:ind w:left="340" w:right="2320" w:hanging="332"/>
        <w:spacing w:after="0" w:line="440" w:lineRule="auto"/>
        <w:tabs>
          <w:tab w:leader="none" w:pos="32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REGULATORY MATTERS, COMMITMENTS, CONTINGENCIES AND ENVIRONMENTAL LIABILITIES </w:t>
      </w:r>
      <w:r>
        <w:rPr>
          <w:rFonts w:ascii="Arial" w:cs="Arial" w:eastAsia="Arial" w:hAnsi="Arial"/>
          <w:sz w:val="18"/>
          <w:szCs w:val="18"/>
          <w:b w:val="1"/>
          <w:bCs w:val="1"/>
          <w:color w:val="auto"/>
        </w:rPr>
        <w:t>Winter Storm Impacts</w:t>
      </w:r>
    </w:p>
    <w:p>
      <w:pPr>
        <w:spacing w:after="0" w:line="1" w:lineRule="exact"/>
        <w:rPr>
          <w:rFonts w:ascii="Arial" w:cs="Arial" w:eastAsia="Arial" w:hAnsi="Arial"/>
          <w:sz w:val="18"/>
          <w:szCs w:val="18"/>
          <w:b w:val="1"/>
          <w:bCs w:val="1"/>
          <w:color w:val="auto"/>
        </w:rPr>
      </w:pPr>
    </w:p>
    <w:p>
      <w:pPr>
        <w:jc w:val="both"/>
        <w:ind w:left="3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Winter Storm Uri, which occurred in February 2021, resulted in one-time impacts to the Partnership’s consolidated net income and also affected the results of operations in certain segments. The recognition of the impacts of Winter Storm Uri during the three months ended March 31, 2021 required management to make certain estimates and assumptions, including estimates of expected credit losses and assumptions related to the resolution of disputes with counterparties with respect to certain purchases and sales of natural gas. The ultimate realization of credit losses and the resolution of disputed purchases and sales of natural gas could materially impact the Partnership’s financial condition and results of operations in future periods.</w:t>
      </w:r>
    </w:p>
    <w:p>
      <w:pPr>
        <w:spacing w:after="0" w:line="10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FERC Proceedings</w:t>
      </w:r>
    </w:p>
    <w:p>
      <w:pPr>
        <w:spacing w:after="0" w:line="17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By Order issued January 16, 2019, the FERC initiated a review of Panhandle’s existing rates pursuant to Section 5 of the Natural Gas Act (“NGA”) to determine whether the rates currently charged by Panhandle are just and reasonable and set the matter for hearing. On August 30, 2019, Panhandle filed a general rate proceeding under Section 4 of the NGA. The Natural Gas Act Section 5 and Section 4 proceedings were consolidated by the order of the Chief Judge dated October 1, 2019. A hearing in the combined proceedings commenced on August 25, 2020 and adjourned on September 15, 2020. The initial decision by the administrative law judge was issued on March 26, 2021. On April 26, 2021, Panhandle filed its brief on exceptions to the initial decision.</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75"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the normal course of business, our subsidiaries purchase, process and sell natural gas pursuant to long-term contracts and enter into long-term transportation and storage agreements. Such contracts contain terms that are customary in the industry. We believe that the terms of these agreements are commercially reasonable and will not have a material adverse effect on its financial position or results of operations.</w:t>
      </w:r>
    </w:p>
    <w:p>
      <w:pPr>
        <w:spacing w:after="0" w:line="111" w:lineRule="exact"/>
        <w:rPr>
          <w:rFonts w:ascii="Arial" w:cs="Arial" w:eastAsia="Arial" w:hAnsi="Arial"/>
          <w:sz w:val="18"/>
          <w:szCs w:val="18"/>
          <w:b w:val="1"/>
          <w:bCs w:val="1"/>
          <w:color w:val="auto"/>
        </w:rPr>
      </w:pPr>
    </w:p>
    <w:p>
      <w:pPr>
        <w:ind w:lef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Our joint venture agreements require that we fund our proportionate share of capital contributions to our unconsolidated affiliates. Such contributions will depend upon the unconsolidated affiliates’ capital requirements, such as for funding capital projects or repayment of long-term obligations.</w:t>
      </w:r>
    </w:p>
    <w:p>
      <w:pPr>
        <w:spacing w:after="0" w:line="69"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have certain non-cancelable rights-of-way (“ROW”) commitments, which require fixed payments and either expire upon our chosen abandonment or at various dates in the future. The table below reflects ROW expense included in operating expenses in the accompanying consolidated statements of operations:</w:t>
      </w:r>
    </w:p>
    <w:p>
      <w:pPr>
        <w:spacing w:after="0" w:line="155" w:lineRule="exact"/>
        <w:rPr>
          <w:sz w:val="20"/>
          <w:szCs w:val="20"/>
          <w:color w:val="auto"/>
        </w:rPr>
      </w:pPr>
    </w:p>
    <w:p>
      <w:pPr>
        <w:jc w:val="center"/>
        <w:ind w:left="7460"/>
        <w:spacing w:after="0"/>
        <w:rPr>
          <w:sz w:val="20"/>
          <w:szCs w:val="20"/>
          <w:color w:val="auto"/>
        </w:rPr>
      </w:pPr>
      <w:r>
        <w:rPr>
          <w:rFonts w:ascii="Arial" w:cs="Arial" w:eastAsia="Arial" w:hAnsi="Arial"/>
          <w:sz w:val="18"/>
          <w:szCs w:val="18"/>
          <w:color w:val="auto"/>
        </w:rPr>
        <w:t>Three Months Ended</w:t>
      </w:r>
    </w:p>
    <w:p>
      <w:pPr>
        <w:jc w:val="center"/>
        <w:ind w:left="746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4445</wp:posOffset>
            </wp:positionV>
            <wp:extent cx="18516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8420"/>
        <w:spacing w:after="0"/>
        <w:tabs>
          <w:tab w:leader="none" w:pos="992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051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0515" cy="15430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7900" w:val="left"/>
          <w:tab w:leader="none" w:pos="9120" w:val="left"/>
          <w:tab w:leader="none" w:pos="9420" w:val="left"/>
          <w:tab w:leader="none" w:pos="10540" w:val="left"/>
        </w:tabs>
        <w:rPr>
          <w:sz w:val="20"/>
          <w:szCs w:val="20"/>
          <w:color w:val="auto"/>
        </w:rPr>
      </w:pPr>
      <w:r>
        <w:rPr>
          <w:rFonts w:ascii="Arial" w:cs="Arial" w:eastAsia="Arial" w:hAnsi="Arial"/>
          <w:sz w:val="18"/>
          <w:szCs w:val="18"/>
          <w:color w:val="auto"/>
        </w:rPr>
        <w:t>ROW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w:t>
        <w:tab/>
        <w:t>$</w:t>
      </w:r>
      <w:r>
        <w:rPr>
          <w:sz w:val="20"/>
          <w:szCs w:val="20"/>
          <w:color w:val="auto"/>
        </w:rPr>
        <w:tab/>
      </w:r>
      <w:r>
        <w:rPr>
          <w:rFonts w:ascii="Arial" w:cs="Arial" w:eastAsia="Arial" w:hAnsi="Arial"/>
          <w:sz w:val="16"/>
          <w:szCs w:val="16"/>
          <w:color w:val="auto"/>
        </w:rPr>
        <w:t>10</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and Contingencies</w:t>
      </w:r>
    </w:p>
    <w:p>
      <w:pPr>
        <w:spacing w:after="0" w:line="175"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We may, from time to time, be involved in litigation and claims arising out of our operations in the normal course of business. Natural gas and crude oil are flammable and combustible. Serious personal injury and significant property damage can arise in connection with their transportation, storage or use. In the ordinary course of business, we are sometimes threatened with or named as a defendant in various lawsuits seeking actual and punitive damages for product liability, personal injury and property damage. We maintain liability insurance with insurers in amounts and with coverage and deductibles management believes are reasonable and prudent, and which are generally accepted in the industry. However, there can be no assurance that the levels of insurance protection currently in effect will continue to be available at reasonable prices or that such levels will remain adequate to protect us from material expenses related to product liability, personal injury or property damage in the future.</w:t>
      </w:r>
    </w:p>
    <w:p>
      <w:pPr>
        <w:spacing w:after="0" w:line="11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or our subsidiaries are a party to various legal proceedings and/or regulatory proceedings incidental to our businesses. For each of these matters, we evaluate the merits of the case, our exposure to the matter, possible legal or settlement strategies, the likelihood of an unfavorable outcome and the availability of insurance coverage. If we determine that 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unfavorable outcome of a particular matter is probable and can be estimated, we accrue the contingent obligation, as well as any expected insurance recoverable amounts related to the contingency. As new information becomes available, our estimates may change. The impact of these changes may have a significant effect on our results of operations in a single period.</w:t>
      </w:r>
    </w:p>
    <w:p>
      <w:pPr>
        <w:spacing w:after="0" w:line="130"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As of March 31, 2021 and December 31, 2020, accruals of approximately $49 million and $77 million, respectively, were reflected on our consolidated balance sheets related to contingent obligations that met both the probable and reasonably estimable criteria. In addition, we may recognize additional contingent losses in the future related to (i) contingent matters for which a loss is currently considered reasonably possible but not probable and/or (ii) losses in excess of amounts that have already been accrued for such contingent matters. In some of these cases, we are not able to estimate possible losses or a range of possible losses in excess of amounts accrued. For such matters where additional contingent losses can be reasonably estimated, the range of additional losses is estimated to be up to approximately $80 million.</w:t>
      </w:r>
    </w:p>
    <w:p>
      <w:pPr>
        <w:spacing w:after="0" w:line="124" w:lineRule="exact"/>
        <w:rPr>
          <w:sz w:val="20"/>
          <w:szCs w:val="20"/>
          <w:color w:val="auto"/>
        </w:rPr>
      </w:pPr>
    </w:p>
    <w:p>
      <w:pPr>
        <w:jc w:val="both"/>
        <w:ind w:left="340" w:right="20"/>
        <w:spacing w:after="0" w:line="311" w:lineRule="auto"/>
        <w:rPr>
          <w:sz w:val="20"/>
          <w:szCs w:val="20"/>
          <w:color w:val="auto"/>
        </w:rPr>
      </w:pPr>
      <w:r>
        <w:rPr>
          <w:rFonts w:ascii="Arial" w:cs="Arial" w:eastAsia="Arial" w:hAnsi="Arial"/>
          <w:sz w:val="16"/>
          <w:szCs w:val="16"/>
          <w:color w:val="auto"/>
        </w:rPr>
        <w:t>The outcome of these matters cannot be predicted with certainty and there can be no assurance that the outcome of a particular matter will not result in the payment of amounts that have not been accrued for the matter. Furthermore, we may revise accrual amounts or our estimates of reasonably possible losses prior to resolution of a particular contingency based on changes in facts and circumstances or changes in the expected outcome.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Dakota Access Pipeline</w:t>
      </w:r>
    </w:p>
    <w:p>
      <w:pPr>
        <w:spacing w:after="0" w:line="171"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On July 27, 2016, the Standing Rock Sioux Tribe (“SRST”) filed a lawsuit in the United States District Court for the District of Columbia (“District Court”) challenging permits issued by the United States Army Corps of Engineers (“USACE”) that allowed Dakota Access to cross the Missouri River at Lake Oahe in North Dakota. The case was subsequently amended to challenge an easement issued by the USACE that allowed the pipeline to cross land owned by the USACE adjacent to the Missouri River. Dakota Access and the Cheyenne River Sioux Tribe (“CRST”) intervened. Separate lawsuits filed by the Oglala Sioux Tribe (“OST”) and the Yankton Sioux Tribe (“YST”) were consolidated with this action and several individual tribal members intervened (collectively, with SRST and CRST, the “Tribes”). On March 25, 2020, the District Court remanded the case back to the USACE for preparation of an Environment Impact Statement (“EIS”). On July 6, 2020, the District Court vacated the easement and ordered Dakota Access to be shut down and emptied of oil by August 5, 2020. Dakota Access and the USACE appealed to the United States Court of Appeals for the District of Columbia (“Court of Appeals”) which granted an administrative stay of the District Court’s July 6 order and ordered further briefing on whether to fully stay the July 6 order. On August 5, 2020, the Court of Appeals 1) granted a stay of the portion of the District Court order that required Dakota Access to shut the pipeline down and empty it of oil, 2) denied a motion to stay the March 25 order pending a decision on the merits by the Court of Appeals as to whether the USACE would be required to prepare an EIS, and 3) denied a motion to stay the District Court’s order to vacate the easement during this appeal process. The August 5 order also states that the Court of Appeals expected the USACE to clarify its position with respect to whether USACE intended to allow the continued operation of the pipeline notwithstanding the vacatur of the easement and that the District Court may consider additional relief, if necessary.</w:t>
      </w:r>
    </w:p>
    <w:p>
      <w:pPr>
        <w:spacing w:after="0" w:line="12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August 10, 2020, the District Court ordered the USACE to submit a status report by August 31, 2020, clarifying its position with regard to its decision-making process with respect to the continued operation of the pipeline. On August 31, 2020, the USACE submitted a status report that indicated that it considered the presence of the pipeline at the Lake Oahe crossing without an easement to constitute an encroachment on federal land, and that it was still considering whether to exercise its enforcement discretion regarding this encroachment. The Tribes subsequently filed a motion seeking an injunction to stop the operation of the pipeline and both of the USACE and Dakota Access filed briefs in opposition of the motion for injunction. The motion for injunction was fully briefed as of January 8, 2021.</w:t>
      </w:r>
    </w:p>
    <w:p>
      <w:pPr>
        <w:spacing w:after="0" w:line="13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January 26, 2021, the Court of Appeals affirmed the District Court’s March 25, 2020 order requiring an EIS and its July 6, 2020 order vacating the easement. In this same January 26 order, the Court of Appeals also overturned the District Court’s July 6, 2020 order that the pipeline shut down and be emptied of oil. Dakota Access filed for rehearing en banc on April 12, 2021, which the Court of Appeals denied. Dakota Access has until September 30, 2021 to petition the U.S. Supreme Court to hear the case.</w:t>
      </w:r>
    </w:p>
    <w:p>
      <w:pPr>
        <w:spacing w:after="0" w:line="133"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District Court scheduled a status conference for February 10, 2021 to discuss the effects of the Court of Appeals’ January 26, 2021 order on the pending motion for injunctive relief, as well as USACE’s expectations as to how it will proceed regarding its enforcement discretion regarding the easement. At the request of the USACE, on February 9, 2021 the District Court granted a two-month continuance for the status conference until April 9, 2021. On April 9, 2021, the District Court granted Dakota Access’s request for the opportunity to file updates to its declarations supporting the opposition to injunctive relief and thereafter granted the Tribes’ request to file updates to their declarations supporting their position with respect to injunctive relief. Dakota Access and the Tribes filed their supplemental declarations on April 19,</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2021 and April 26, 2021, respectively. On April 26, 2021, the District Court requested that USACE advise it by May 3, 2021 as to USACE’s current position, if it has one, with respect to the Motion. On May 3, 2021, USACE advised the District Court that it had not changed its position with respect to its opposition to the Tribes’ motion for injunction. The USACE also advised the District Court that it expected that the EIS will be completed by March 2022. The District Court is expected to rule on the motion in the near future.</w:t>
      </w:r>
    </w:p>
    <w:p>
      <w:pPr>
        <w:spacing w:after="0" w:line="13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pipeline continues to operate pending rulings from the District Court. ET cannot determine when or how these lawsuits will be resolved or the impact they may have on the Dakota Access pipelines; however, ET expects after the law and complete record are fully considered, the issues in this litigation will be resolved in a manner that will allow the pipeline to continue to operate.</w:t>
      </w:r>
    </w:p>
    <w:p>
      <w:pPr>
        <w:spacing w:after="0" w:line="13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addition, lawsuits and/or regulatory proceedings or actions of this or a similar nature could result in interruptions to construction or operations of current or future projects, delays in completing those projects and/or increased project costs, all of which could have an adverse effect on our business and results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 Belvieu Incident</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June 26, 2016, a hydrocarbon storage well located on another operator’s facility adjacent to Lone Star NGL LLC’s (“Lone Star”) facilities in Mont Belvieu, Texas experienced an over-pressurization resulting in a subsurface release. The subsurface release caused a fire at Lone Star’s South Terminal and damage to Lone Star’s storage well operations at its South and North Terminals. Normal operations have resumed at the facilities with the exception of one of Lone Star’s storage wells; however, Lone Star is still quantifying the extent of its incurred and ongoing damages and has obtained, and will continue to seek, reimbursement for these losses.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MTBE Litigation</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ETC Sunoco Holdings LLC and Sunoco R&amp;M (collectively, “Sunoco Defendants”) are defendants in lawsuits alleging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w:t>
      </w:r>
    </w:p>
    <w:p>
      <w:pPr>
        <w:spacing w:after="0" w:line="13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of March 31, 2021, Sunoco Defendants are defendants in five cases, including one case each initiated by the States of Maryland and Rhode Island, one by the Commonwealth of Pennsylvania and two by the Commonwealth of Puerto Rico. The more recent Puerto Rico action is a companion case alleging damages for additional sites beyond those at issue in the initial Puerto Rico action. The actions brought by the State of Maryland and Commonwealth of Pennsylvania have also named as defendants ETO, ETP Holdco Corporation, and Sunoco Partners Marketing &amp; Terminals L.P. (“SPMT”).</w:t>
      </w:r>
    </w:p>
    <w:p>
      <w:pPr>
        <w:spacing w:after="0" w:line="13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Regency Merger Litigation</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June 10, 2015, Adrian Dieckman (“Dieckman or Plaintiff”), a purported Regency unitholder, filed a class action complaint related to the Regency-ETO merger (the “Regency Merger”) in the Court of Chancery of the State of Delaware (the “Regency Merger Litigation”), on behalf of Regency’s common unitholders against Regency GP LP, Regency GP LLC, ET, ETO, Energy Transfer Partners GP, L.P., and the members of Regency’s board of directors.</w:t>
      </w:r>
    </w:p>
    <w:p>
      <w:pPr>
        <w:spacing w:after="0" w:line="13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Regency Merger Litigation alleges that the Regency Merger breached the Regency partnership agreement. On March 29, 2016, the Delaware Court of Chancery granted the defendants’ motion to dismiss the lawsuit in its entirety. Plaintiff appealed, and the Delaware Supreme Court reversed the judgment of the Court of Chancery. Plaintiff then filed an Amended Verified Class Action Complaint, which defendants moved to dismiss. The Court of Chancery granted in part and denied in part the motions to dismiss, dismissing the claims against all defendants other than Regency GP LP and Regency GP LLC (the “Regency Defendants”). The Court of Chancery later granted plaintiff’s unopposed motion for class certification. Trial was held on December 10-16, 2019, and a post-trial hearing was held on May 6, 2020. On February 15, 2021, the Court of Chancery ruled in favor of the Regency Defendants on all claims at issue in this litigation, determined that the Regency Merger was fair and reasonable to Regency, and denied plaintiff any relief.</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March 19, 2021, Plaintiff filed a notice of appeal. The Regency Defendants cannot predict the outcome of this appeal but intend to vigorously oppose 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Filed By or Against Williams</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In April and May 2016, the Williams Companies, Inc. (“Williams”) filed two lawsuits (the “Williams Litigation”) against ET, LE GP, and, in one of the lawsuits, Energy Transfer Corp LP, ETE Corp GP, LLC, and Energy Transfer Equity GP, LLC (collectively, “ET Defendants”), alleging that ET Defendants breached their obligations under the ET-Williams merger agreement (the “Merger Agreement”). In general, Williams alleges that ET Defendants breached the Merger Agreement by (a) failing to use commercially reasonable efforts to obtain from Latham &amp; Watkins LLP (“Latham”) the delivery of a tax opinion concerning Section 721 of the Internal Revenue Code (“721 Opinion”), (b) issuing the Partnership’s series A convertible preferred units (the “Issuance”), and (c) making allegedly untrue representations and warranties in the Merger Agreement.</w:t>
      </w:r>
    </w:p>
    <w:p>
      <w:pPr>
        <w:spacing w:after="0" w:line="12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After a two-day trial on June 20 and 21, 2016, the Court ruled in favor of ET Defendants and issued a declaratory judgment that ET could terminate the merger after June 28, 2016 because of Latham’s inability to provide the required 721 Opinion. The Court did not reach a decision regarding Williams’ claims related to the Issuance nor the alleged untrue representations and warranties. On March 23, 2017, the Delaware Supreme Court affirmed the Court’s ruling on the June 2016 trial.</w:t>
      </w:r>
    </w:p>
    <w:p>
      <w:pPr>
        <w:spacing w:after="0" w:line="13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September 2016, the parties filed amended pleadings. Williams filed an amended complaint seeking a $410 million termination fee based on the alleged breaches of the Merger Agreement listed above. ET Defendants filed amended counterclaims and affirmative defenses, asserting that Williams materially breached the Merger Agreement by, among other things, (a) failing to use its reasonable best efforts to consummate the merger, (b) failing to provide material information to ET for inclusion in the Form S-4 related to the merger, (c) failing to facilitate the financing of the merger, and (d) breaching the Merger Agreement’s forum-selection clause.</w:t>
      </w:r>
    </w:p>
    <w:p>
      <w:pPr>
        <w:spacing w:after="0" w:line="13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July 2020, the Court denied ET Defendant’s Motion for Summary Judgment and Williams’ Motion for Partial Summary Judgment. Trial is currently set for May 10-17, 2021. ET Defendants cannot predict the outcome of the Williams Litigation or any lawsuits that might be filed subsequent to the date of this filing; nor can ET Defendants predict the amount of time and expense that will be required to resolve these lawsuits. ET Defendants believe that Williams’ claims are without merit and intend to defend vigorously against them.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Rover</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November 3, 2017, the State of Ohio and the Ohio Environmental Protection Agency (“Ohio EPA”) filed suit against Rover and other defendants seeking to recover civil penalties allegedly owed and certain injunctive relief related to permit compliance. The defendants filed several motions to dismiss, which were granted on all counts. The Ohio EPA appealed, and on December 9, 2019, the Fifth District Court of Appeals entered a unanimous judgment affirming the trial court. The Ohio EPA sought review from the Ohio Supreme Court, which the defendants opposed in briefs filed in February 2020. On April 22, 2020, the Ohio Supreme Court granted the Ohio EPA’s request for review. Briefing has concluded and oral argument was held on January 26, 2021. The parties are awaiting a decision.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Revolution</w:t>
      </w:r>
    </w:p>
    <w:p>
      <w:pPr>
        <w:spacing w:after="0" w:line="171"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On September 10, 2018, a pipeline release and fire (the “Incident”) occurred on the Revolution pipeline, a natural gas gathering line located in Center Township, Beaver County, Pennsylvania. There were no injuries. On February 8, 2019, the Pennsylvania Department of Environmental Protection (“PADEP”) issued a Permit Hold on any requests for approvals/permits or permit amendments for any project in Pennsylvania pursuant to the state’s water laws. The Partnership filed an appeal of the Permit Hold with the Pennsylvania Environmental Hearing Board. On January 3, 2020, the Partnership entered into a Consent Order and Agreement with the PADEP in which, among other things, the Permit Hold was lifted, the Partnership agreed to pay a $28.6 million civil penalty and fund a $2 million community environmental project, and all related appeals were withdrawn. On November 11, 2020, the PADEP issued an order that required additional approvals and work prior to placing the Revolution Pipeline back in service. The Partnership filed an appeal of this order on December 8, 2020. On February 26, 2021, the Partnership entered into a Consent Order and Agreement with the Department in which, among other things, allowed the Partnership to place the Revolution pipeline back in service, the Partnership agreed to pay a $125,000 penalty, and all related appeals were withdrawn.</w:t>
      </w:r>
    </w:p>
    <w:p>
      <w:pPr>
        <w:spacing w:after="0" w:line="13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Pennsylvania Office of Attorney General has commenced an investigation regarding the Incident, and the United States Attorney for the Western District of Pennsylvania has issued a federal grand jury subpoena for documents relevant to the Incident. The scope of these investigations is not further known at this time.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Chester County, Pennsylvania Investigation</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December 2018, the former Chester County District Attorney (the “Chester County DA”) sent a letter to the Partnership stating that his office was investigating the Partnership and related entities for “potential crimes” related to the Mariner East pipelines.</w:t>
      </w:r>
    </w:p>
    <w:p>
      <w:pPr>
        <w:spacing w:after="0" w:line="11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Subsequently, the matter was submitted to an Investigating Grand Jury in Chester County, Pennsylvania, which has issued subpoenas seeking documents and testimony. On September 24, 2019, the Chester County DA sent a Notice of Intent to the Partnership of its intent to pursue an abatement action if certain conditions were not remediated. The Partnership responded to the Notice of Intent within the prescribed time period.</w:t>
      </w:r>
    </w:p>
    <w:p>
      <w:pPr>
        <w:spacing w:after="0" w:line="1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 December 2019, the Chester County DA announced charges against a current employee related to the provision of security services. On June 25, 2020, a preliminary hearing was held on the charges against the employee, and the judge dismissed all charges.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County, Pennsylvania Investigation</w:t>
      </w:r>
    </w:p>
    <w:p>
      <w:pPr>
        <w:spacing w:after="0" w:line="171"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On March 11, 2019, the Delaware County District Attorney’s Office (the “Delaware County DA”) announced that the Delaware County DA and the Pennsylvania Attorney General’s Office, at the request of the Delaware County DA, are conducting an investigation of alleged criminal misconduct involving the construction and related activities of the Mariner East pipelines in Delaware County. On March 16, 2020, the Pennsylvania Attorney General Office served a Statewide Investigating Grand Jury subpoena for documents relating to inadvertent returns and water supplies related to the Mariner East pipelines. While the Partnership will cooperate with the subpoena, it intends to vigorously defend itself.</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 Regarding Pennsylvania Pipeline Construction</w:t>
      </w:r>
    </w:p>
    <w:p>
      <w:pPr>
        <w:spacing w:after="0" w:line="171" w:lineRule="exact"/>
        <w:rPr>
          <w:sz w:val="20"/>
          <w:szCs w:val="20"/>
          <w:color w:val="auto"/>
        </w:rPr>
      </w:pPr>
    </w:p>
    <w:p>
      <w:pPr>
        <w:jc w:val="both"/>
        <w:ind w:left="340"/>
        <w:spacing w:after="0" w:line="267" w:lineRule="auto"/>
        <w:rPr>
          <w:sz w:val="20"/>
          <w:szCs w:val="20"/>
          <w:color w:val="auto"/>
        </w:rPr>
      </w:pPr>
      <w:r>
        <w:rPr>
          <w:rFonts w:ascii="Arial" w:cs="Arial" w:eastAsia="Arial" w:hAnsi="Arial"/>
          <w:sz w:val="17"/>
          <w:szCs w:val="17"/>
          <w:color w:val="auto"/>
        </w:rPr>
        <w:t xml:space="preserve">Four purported unitholders of ET filed derivative actions against various past and current members of ET’s Board of Directors, LE GP, and ET, as a nominal defendant that assert claims for breach of fiduciary duties, unjust enrichment, waste of corporate assets, breach of ET’s limited partnership agreement, tortious interference, abuse of control, and gross mismanagement related primarily to matters involving the construction of pipelines in Pennsylvania. They also seek damages and changes to ET’s corporate governance structure. See </w:t>
      </w:r>
      <w:r>
        <w:rPr>
          <w:rFonts w:ascii="Arial" w:cs="Arial" w:eastAsia="Arial" w:hAnsi="Arial"/>
          <w:sz w:val="17"/>
          <w:szCs w:val="17"/>
          <w:i w:val="1"/>
          <w:iCs w:val="1"/>
          <w:color w:val="auto"/>
        </w:rPr>
        <w:t>Bettiol v. LE GP</w:t>
      </w:r>
      <w:r>
        <w:rPr>
          <w:rFonts w:ascii="Arial" w:cs="Arial" w:eastAsia="Arial" w:hAnsi="Arial"/>
          <w:sz w:val="17"/>
          <w:szCs w:val="17"/>
          <w:color w:val="auto"/>
        </w:rPr>
        <w:t xml:space="preserve">, Case No. 3:19-cv-02890-X (N.D. Tex.); </w:t>
      </w:r>
      <w:r>
        <w:rPr>
          <w:rFonts w:ascii="Arial" w:cs="Arial" w:eastAsia="Arial" w:hAnsi="Arial"/>
          <w:sz w:val="17"/>
          <w:szCs w:val="17"/>
          <w:i w:val="1"/>
          <w:iCs w:val="1"/>
          <w:color w:val="auto"/>
        </w:rPr>
        <w:t>Davidson v. Kelcy L. Warren,</w:t>
      </w:r>
      <w:r>
        <w:rPr>
          <w:rFonts w:ascii="Arial" w:cs="Arial" w:eastAsia="Arial" w:hAnsi="Arial"/>
          <w:sz w:val="17"/>
          <w:szCs w:val="17"/>
          <w:color w:val="auto"/>
        </w:rPr>
        <w:t xml:space="preserve"> Cause No. DC-20-02322 (44th Judicial District of Dallas County, Texas); </w:t>
      </w:r>
      <w:r>
        <w:rPr>
          <w:rFonts w:ascii="Arial" w:cs="Arial" w:eastAsia="Arial" w:hAnsi="Arial"/>
          <w:sz w:val="17"/>
          <w:szCs w:val="17"/>
          <w:i w:val="1"/>
          <w:iCs w:val="1"/>
          <w:color w:val="auto"/>
        </w:rPr>
        <w:t>Harris v. Kelcy L. Warren</w:t>
      </w:r>
      <w:r>
        <w:rPr>
          <w:rFonts w:ascii="Arial" w:cs="Arial" w:eastAsia="Arial" w:hAnsi="Arial"/>
          <w:sz w:val="17"/>
          <w:szCs w:val="17"/>
          <w:color w:val="auto"/>
        </w:rPr>
        <w:t xml:space="preserve">, Case No. 2:20-cv-00364-GAM (E.D. Pa.); and </w:t>
      </w:r>
      <w:r>
        <w:rPr>
          <w:rFonts w:ascii="Arial" w:cs="Arial" w:eastAsia="Arial" w:hAnsi="Arial"/>
          <w:sz w:val="17"/>
          <w:szCs w:val="17"/>
          <w:i w:val="1"/>
          <w:iCs w:val="1"/>
          <w:color w:val="auto"/>
        </w:rPr>
        <w:t>King v. LE GP</w:t>
      </w:r>
      <w:r>
        <w:rPr>
          <w:rFonts w:ascii="Arial" w:cs="Arial" w:eastAsia="Arial" w:hAnsi="Arial"/>
          <w:sz w:val="17"/>
          <w:szCs w:val="17"/>
          <w:color w:val="auto"/>
        </w:rPr>
        <w:t xml:space="preserve">, Case No. 3:20-cv-00719-X (N.D. Tex.). Another purported unitholder of ET, Allegheny County Employees’ Retirement System (“ACERS”), individually and on behalf of all others similarly situated, filed a suit under the federal securities laws purportedly on behalf of a class, against ET and three of ET’s directors, Kelcy L. Warren, John W. McReynolds, and Thomas E. Long. See </w:t>
      </w:r>
      <w:r>
        <w:rPr>
          <w:rFonts w:ascii="Arial" w:cs="Arial" w:eastAsia="Arial" w:hAnsi="Arial"/>
          <w:sz w:val="17"/>
          <w:szCs w:val="17"/>
          <w:i w:val="1"/>
          <w:iCs w:val="1"/>
          <w:color w:val="auto"/>
        </w:rPr>
        <w:t>Allegheny</w:t>
      </w:r>
      <w:r>
        <w:rPr>
          <w:rFonts w:ascii="Arial" w:cs="Arial" w:eastAsia="Arial" w:hAnsi="Arial"/>
          <w:sz w:val="17"/>
          <w:szCs w:val="17"/>
          <w:color w:val="auto"/>
        </w:rPr>
        <w:t xml:space="preserve"> </w:t>
      </w:r>
      <w:r>
        <w:rPr>
          <w:rFonts w:ascii="Arial" w:cs="Arial" w:eastAsia="Arial" w:hAnsi="Arial"/>
          <w:sz w:val="17"/>
          <w:szCs w:val="17"/>
          <w:i w:val="1"/>
          <w:iCs w:val="1"/>
          <w:color w:val="auto"/>
        </w:rPr>
        <w:t>County Emps.’ Ret. Sys. v. Energy Transfer LP</w:t>
      </w:r>
      <w:r>
        <w:rPr>
          <w:rFonts w:ascii="Arial" w:cs="Arial" w:eastAsia="Arial" w:hAnsi="Arial"/>
          <w:sz w:val="17"/>
          <w:szCs w:val="17"/>
          <w:color w:val="auto"/>
        </w:rPr>
        <w:t>, Case No. 2:20-00200-GAM (E.D. Pa.). On June 15, 2020, ACERS filed an amended complaint and</w:t>
      </w:r>
      <w:r>
        <w:rPr>
          <w:rFonts w:ascii="Arial" w:cs="Arial" w:eastAsia="Arial" w:hAnsi="Arial"/>
          <w:sz w:val="17"/>
          <w:szCs w:val="17"/>
          <w:i w:val="1"/>
          <w:iCs w:val="1"/>
          <w:color w:val="auto"/>
        </w:rPr>
        <w:t xml:space="preserve"> </w:t>
      </w:r>
      <w:r>
        <w:rPr>
          <w:rFonts w:ascii="Arial" w:cs="Arial" w:eastAsia="Arial" w:hAnsi="Arial"/>
          <w:sz w:val="17"/>
          <w:szCs w:val="17"/>
          <w:color w:val="auto"/>
        </w:rPr>
        <w:t>added as additional defendants ET directors Marshall McCrea and Matthew Ramsey, as well as Michael J. Hennigan and Joseph McGinn. The amended complaint asserts claims for violations of Sections 10(b) and 20(a) of the Exchange Act and Rule 10b-5 promulgated thereunder related primarily to matters involving the construction of pipelines in Pennsylvania. On August 14, 2020, the defendants filed a motion to dismiss ACERS’ amended complaint. On April 6, 2021, the court granted in part and denied in part the defendants’ motion to dismiss. The court held that ACERS could proceed with its claims regarding certain statements put at issue by the amended complaint while also dismissing claims based on other statements. The court also dismissed without prejudice the claims against defendants McReynolds, McGinn, and Hennigan. The defendants cannot predict the outcome of these lawsuits or any lawsuits that might be filed subsequent to the date of this filing; nor can the defendants predict the amount of time and expense that will be required to resolve these lawsuits. However, the defendants believe that the claims are without merit and intend to vigorously contest them.</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Cline Class Action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7, 2017, Perry Cline filed a class action complaint in the Eastern District of Oklahoma against Sunoco R&amp;M and Sunoco Partners Marketing</w:t>
      </w:r>
    </w:p>
    <w:p>
      <w:pPr>
        <w:spacing w:after="0" w:line="46" w:lineRule="exact"/>
        <w:rPr>
          <w:sz w:val="20"/>
          <w:szCs w:val="20"/>
          <w:color w:val="auto"/>
        </w:rPr>
      </w:pPr>
    </w:p>
    <w:p>
      <w:pPr>
        <w:jc w:val="both"/>
        <w:ind w:left="340" w:hanging="8"/>
        <w:spacing w:after="0" w:line="253" w:lineRule="auto"/>
        <w:tabs>
          <w:tab w:leader="none" w:pos="5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Terminals L.P. (collectively, “SPMT”) that alleged SPMT failed to make timely payments of oil and gas proceeds from Oklahoma wells and to pay statutory interest for those untimely payments. On October 3, 2019, the Court certified a class to include all persons who received untimely payments from Oklahoma wells on or after July 7, 2012 and who have not already been paid statutory interest on the untimely payments (the “Class”). Excluded from the Class are those entitled to payments of proceeds that qualify as “minimum pay,” prior period adjustments, and pass through payments, as well as governmental agencies and publicly traded oil and gas companies.</w:t>
      </w:r>
    </w:p>
    <w:p>
      <w:pPr>
        <w:spacing w:after="0" w:line="13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After a bench trial, on August 17, 2020, Judge John Gibney (sitting from the Eastern District of Virginia) issued an opinion that awarded the Class actual damages of $74.8 million for late payment interest for identified and unidentified royalty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owners and interest-on-interest. This amount was later amended to $80.7 million to account for interest accrued from trial (the “Order”). Judge Gibney also awarded punitive damages in the amount of $75 million. The Class is also seeking attorneys’ fees.</w:t>
      </w:r>
    </w:p>
    <w:p>
      <w:pPr>
        <w:spacing w:after="0" w:line="1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August 27, 2020, SPMT filed its Notice of Appeal with the 10th Circuit and appealed the entirety of the Order. SPMT cannot predict the outcome of the case, nor can SPMT predict the amount of time and expense that will be required to resolve the appeal, but intends to vigorously appeal the entirety of the Order.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Our operations are subject to extensive federal, tribal, state and local environmental and safety laws and regulations that require expenditures to ensure compliance, including related to air emissions and wastewater discharges, at operating facilities and for remediation at current and former facilities as well as waste disposal sites. Historically, our environmental compliance costs have not had a material adverse effect on our results of operations but there can be no assurance that such costs will not be material in the future or that such future compliance with existing, amended or new legal requirements will not have a material adverse effect on our business and operating results. Costs of planning, designing, constructing and operating pipelines, plants and other facilities must incorporate compliance with environmental laws and regulations and safety standards. Failure to comply with these laws and regulations may result in the assessment of administrative, civil and criminal penalties, the imposition of investigatory, remedial and corrective action obligations, natural resource damages, the issuance of injunctions in affected areas and the filing of federally authorized citizen suits. Contingent losses related to all significant known environmental matters have been accrued and/or separately disclosed. However, we may revise accrual amounts prior to resolution of a particular contingency based on changes in facts and circumstances or changes in the expected outcome.</w:t>
      </w:r>
    </w:p>
    <w:p>
      <w:pPr>
        <w:spacing w:after="0" w:line="114"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Environmental exposures and liabilities are difficult to assess and estimate due to unknown factors such as the magnitude of possible contamination, the timing and extent of remediation, the determination of our liability in proportion to other parties, improvements in cleanup technologies and the extent to which environmental laws and regulations may change in the future. Although environmental costs may have a significant impact on our results of operations for any single period, we believe that such costs will not have a material adverse effect on our financial position.</w:t>
      </w:r>
    </w:p>
    <w:p>
      <w:pPr>
        <w:spacing w:after="0" w:line="10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Based on information available at this time and reviews undertaken to identify potential exposure, we believe the amount reserved for environmental matters is adequate to cover the potential exposure for cleanup costs.</w:t>
      </w:r>
    </w:p>
    <w:p>
      <w:pPr>
        <w:spacing w:after="0" w:line="116"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In February 2017, we received letters from the DOJ on behalf of EPA and Louisiana Department of Environmental Quality (“LDEQ”) notifying SPLP and Mid-Valley Pipeline Company (“Mid-Valley”) that enforcement actions were being pursued for three separate crude oil releases: (a) an estimated 550 barrels released from the Colmesneil-to-Chester pipeline in Tyler County, Texas (“Colmesneil”) which allegedly occurred in February 2013; (b) an estimated 4,509 barrels released from the Longview-to-Mayersville pipeline in Caddo Parish, Louisiana (a/k/a Milepost 51.5) which allegedly occurred in October 2014; and (c) an estimated 40 barrels released from the Wakita 4-inch gathering line in Oklahoma which allegedly occurred in January 2015. In January 2019, a Consent Decree approved by all parties as well as an accompanying Complaint was filed in the United States District Court for the Western District of Louisiana seeking public comment and final court approval to resolve all penalties with the DOJ and LDEQ for the three releases. Subsequently, the court approved the Consent Decree and the penalty payment of $5.4 million was satisfied. The Consent Decree requires certain injunctive relief to be completed on the Longview-to-Mayersville pipeline within three years but the injunctive relief is not expected to have any material impact on operations. In addition to resolution of the civil penalty and injunctive relief, we continue to discuss natural resource damages with the Louisiana trustees related to the Caddo Parish, Louisiana release.</w:t>
      </w:r>
    </w:p>
    <w:p>
      <w:pPr>
        <w:spacing w:after="0" w:line="128"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On June 4, 2019, the Oklahoma Corporation Commission’s (“OCC”) Transportation Division filed a complaint against SPLP seeking a penalty of up to $1 million related to a May 2018 rupture near Edmond, Oklahoma. The rupture occurred on the Noble to Douglas 8-inch pipeline in an area of external corrosion and caused the release of approximately fifteen barrels of crude oil. SPLP responded immediately to the release and remediated the surrounding environment and pipeline in cooperation with the OCC. The OCC filed the complaint alleging that SPLP failed to provide adequate cathodic protection to the pipeline causing the failure. SPLP is finalizing a settlement agreement with the OCC for a lesser penalty</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subsidiaries are responsible for environmental remediation at certain sites, including the following:</w:t>
      </w:r>
    </w:p>
    <w:p>
      <w:pPr>
        <w:spacing w:after="0" w:line="117" w:lineRule="exact"/>
        <w:rPr>
          <w:sz w:val="20"/>
          <w:szCs w:val="20"/>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of our interstate pipelines conduct soil and groundwater remediation related to contamination from past uses of polychlorinated biphenyls (“PCBs”). PCB assessments are ongoing and, in some cases, our subsidiaries could be contractually responsible for contamination caused by other parties.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gathering and processing systems are responsible for soil and groundwater remediation related to releases of hydrocarbons.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legacy sites related to Sunoco, Inc. are subject to environmental assessments, including formerly owned terminals and other logistics assets, retail sites that Sunoco no longer operates, closed and/or sold refineries and other formerly owned sites.</w:t>
      </w:r>
    </w:p>
    <w:p>
      <w:pPr>
        <w:spacing w:after="0" w:line="62"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Sunoco Inc. is potentially subject to joint and several liability for the costs of remediation at sites at which it has been identified as a potentially responsible party (“PRP”). As of March 31, 2021, Sunoco, Inc. had been named as a PRP at approximately 35 identified or potentially identifiable “Superfund” sites under federal and/or comparable state law. Sunoco Inc. is usually one of a number of companies identified as a PRP at a site. Sunoco, Inc. has reviewed the nature and extent of its involvement at each site and other relevant circumstances and, based upon Sunoco Inc.’s purported nexus to the sites, believes that its potential liability associated with such sites will not be significant.</w:t>
      </w:r>
    </w:p>
    <w:p>
      <w:pPr>
        <w:spacing w:after="0" w:line="107"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To the extent estimable, expected remediation costs are included in the amounts recorded for environmental matters in our consolidated balance sheets. In some circumstances, future costs cannot be reasonably estimated because remediation activities are undertaken as claims are made by customers and former customers. To the extent that an environmental remediation obligation is recorded by a subsidiary that applies regulatory accounting policies, amounts that are expected to be recoverable through tariffs or rates are recorded as regulatory assets on our consolidated balance sheets.</w:t>
      </w:r>
    </w:p>
    <w:p>
      <w:pPr>
        <w:spacing w:after="0" w:line="103" w:lineRule="exact"/>
        <w:rPr>
          <w:sz w:val="20"/>
          <w:szCs w:val="20"/>
          <w:color w:val="auto"/>
        </w:rPr>
      </w:pPr>
    </w:p>
    <w:p>
      <w:pPr>
        <w:jc w:val="both"/>
        <w:ind w:left="340" w:right="20"/>
        <w:spacing w:after="0" w:line="259" w:lineRule="auto"/>
        <w:rPr>
          <w:sz w:val="20"/>
          <w:szCs w:val="20"/>
          <w:color w:val="auto"/>
        </w:rPr>
      </w:pPr>
      <w:r>
        <w:rPr>
          <w:rFonts w:ascii="Arial" w:cs="Arial" w:eastAsia="Arial" w:hAnsi="Arial"/>
          <w:sz w:val="18"/>
          <w:szCs w:val="18"/>
          <w:color w:val="auto"/>
        </w:rPr>
        <w:t>The table below reflects the amounts of accrued liabilities recorded in our consolidated balance sheets related to environmental matters that are considered to be probable and reasonably estimable. Currently, we are not able to estimate possible losses or a range of possible losses in excess of amounts accrued. Except for matters discussed above, we do not have any material environmental matters assessed as reasonably possible that require disclosure in our consolidated financial statements.</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7"/>
                <w:szCs w:val="17"/>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December 31,</w:t>
            </w:r>
          </w:p>
        </w:tc>
      </w:tr>
      <w:tr>
        <w:trPr>
          <w:trHeight w:val="229"/>
        </w:trPr>
        <w:tc>
          <w:tcPr>
            <w:tcW w:w="7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48"/>
        </w:trPr>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environmental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We have established a wholly-owned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w:t>
      </w:r>
    </w:p>
    <w:p>
      <w:pPr>
        <w:spacing w:after="0" w:line="10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During the three months ended March 31, 2021 and 2020, the Partnership recorded $6 million and $9 million, respectively, of expenditures related to environmental cleanup programs.</w:t>
      </w:r>
    </w:p>
    <w:p>
      <w:pPr>
        <w:spacing w:after="0" w:line="116"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Our pipeline operations are subject to regulation by the United States Department of Transportation under PHMSA, pursuant to which PHMSA has established requirements relating to the design, installation, testing, construction, operation, replacement and management of pipeline facilities. Moreover, PHMSA, through the Office of Pipeline Safety, has promulgated a rule requiring pipeline operators to develop integrity management programs to comprehensively evaluate their pipelines and take measures to protect pipeline segments located in what the rule refers to as “high consequence areas.” Activities under these integrity management programs involve the performance of internal pipeline inspections, pressure testing or other effective means to assess the integrity of these regulated pipeline segments, and the regulations require prompt action to address integrity issues raised by the assessment and analysis. Integrity testing and assessment of all of these assets will continue, and the potential exists that results of such testing and assessment could cause us to incur future capital and operating expenditures for repairs or upgrades deemed necessary to ensure the continued safe and reliable operation of our pipelines; however, no estimate can be made at this time of the likely range of such expenditures.</w:t>
      </w:r>
    </w:p>
    <w:p>
      <w:pPr>
        <w:spacing w:after="0" w:line="11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Our operations are also subject to the requirements of OSHA, and comparable state laws that regulate the protection of the health and safety of employees. In addition, the Occupational Safety and Health Administration’s hazardous communication standard requires that information be maintained about hazardous materials used or produced in our operations and that this information be provided to employees, state and local government authorities and citizens. We believe that our past costs for OSHA required activities, including general industry standards, record keeping requirements, and monitoring of occupational exposure to regulated substances have not had a material adverse effect on our results of operations, but there is no assurance that such costs will not be material in the future.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right="8860" w:hanging="332"/>
        <w:spacing w:after="0" w:line="495" w:lineRule="auto"/>
        <w:tabs>
          <w:tab w:leader="none" w:pos="335"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REVENUE </w:t>
      </w:r>
      <w:r>
        <w:rPr>
          <w:rFonts w:ascii="Arial" w:cs="Arial" w:eastAsia="Arial" w:hAnsi="Arial"/>
          <w:sz w:val="16"/>
          <w:szCs w:val="16"/>
          <w:b w:val="1"/>
          <w:bCs w:val="1"/>
          <w:color w:val="auto"/>
        </w:rPr>
        <w:t>Disaggregation of Revenue</w:t>
      </w:r>
    </w:p>
    <w:p>
      <w:pPr>
        <w:spacing w:after="0" w:line="1" w:lineRule="exact"/>
        <w:rPr>
          <w:rFonts w:ascii="Arial" w:cs="Arial" w:eastAsia="Arial" w:hAnsi="Arial"/>
          <w:sz w:val="16"/>
          <w:szCs w:val="16"/>
          <w:b w:val="1"/>
          <w:bCs w:val="1"/>
          <w:color w:val="auto"/>
        </w:rPr>
      </w:pPr>
    </w:p>
    <w:p>
      <w:pPr>
        <w:ind w:left="34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Partnership’s consolidated financial statements reflect eight reportable segments, which also represent the level at which the Partnership aggregates revenue for disclosure purposes. Note 15 depicts the disaggregation of revenue by segment.</w:t>
      </w:r>
    </w:p>
    <w:p>
      <w:pPr>
        <w:spacing w:after="0" w:line="112"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Contract Balances with Customers</w:t>
      </w:r>
    </w:p>
    <w:p>
      <w:pPr>
        <w:spacing w:after="0" w:line="175" w:lineRule="exact"/>
        <w:rPr>
          <w:rFonts w:ascii="Arial" w:cs="Arial" w:eastAsia="Arial" w:hAnsi="Arial"/>
          <w:sz w:val="16"/>
          <w:szCs w:val="16"/>
          <w:b w:val="1"/>
          <w:bCs w:val="1"/>
          <w:color w:val="auto"/>
        </w:rPr>
      </w:pPr>
    </w:p>
    <w:p>
      <w:pPr>
        <w:jc w:val="both"/>
        <w:ind w:left="340"/>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The Partnership satisfies its obligations by transferring goods or services in exchange for consideration from customers. The timing of performance may differ from the timing the associated consideration is paid to or received from the customer, thus resulting in the recognition of a contract asset or a contract liability.</w:t>
      </w:r>
    </w:p>
    <w:p>
      <w:pPr>
        <w:spacing w:after="0" w:line="129" w:lineRule="exact"/>
        <w:rPr>
          <w:rFonts w:ascii="Arial" w:cs="Arial" w:eastAsia="Arial" w:hAnsi="Arial"/>
          <w:sz w:val="16"/>
          <w:szCs w:val="16"/>
          <w:b w:val="1"/>
          <w:bCs w:val="1"/>
          <w:color w:val="auto"/>
        </w:rPr>
      </w:pPr>
    </w:p>
    <w:p>
      <w:pPr>
        <w:ind w:left="34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Partnership recognizes a contract asset when making upfront consideration payments to certain customers or when providing services to customers prior to the time at which the Partnership is contractually allowed to bill for such services.</w:t>
      </w:r>
    </w:p>
    <w:p>
      <w:pPr>
        <w:spacing w:after="0" w:line="116" w:lineRule="exact"/>
        <w:rPr>
          <w:rFonts w:ascii="Arial" w:cs="Arial" w:eastAsia="Arial" w:hAnsi="Arial"/>
          <w:sz w:val="16"/>
          <w:szCs w:val="16"/>
          <w:b w:val="1"/>
          <w:bCs w:val="1"/>
          <w:color w:val="auto"/>
        </w:rPr>
      </w:pPr>
    </w:p>
    <w:p>
      <w:pPr>
        <w:jc w:val="both"/>
        <w:ind w:left="34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The Partnership recognizes a contract liability if the customer’s payment of consideration precedes the Partnership’s fulfillment of the performance obligations. Certain contracts contain provisions requiring customers to pay a fixed minimum fee, but allow customers to apply such fees against services to be provided at a future point in time. These amounts are reflected as deferred revenue until the customer applies the deficiency fees to services provided or becomes unable to use the fees as payment for future services due to expiration of the contractual period the fees can be applied or physical inability of the customer to utilize the fees due to capacity constraints. Additionally, Sunoco LP maintains some franchise agreements requiring dealers to make one-time upfront payments for long term license agreements. Sunoco LP recognizes a contract liability when the upfront payment is received and recognizes revenue over the term of the license.</w:t>
      </w:r>
    </w:p>
    <w:p>
      <w:pPr>
        <w:spacing w:after="0" w:line="123"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summarizes the consolidated activity of our contract liabilities: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color w:val="auto"/>
                <w:w w:val="91"/>
              </w:rPr>
              <w:t>Contract</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6"/>
              </w:rPr>
              <w:t>290</w:t>
            </w:r>
          </w:p>
        </w:tc>
        <w:tc>
          <w:tcPr>
            <w:tcW w:w="0" w:type="dxa"/>
            <w:vAlign w:val="bottom"/>
          </w:tcPr>
          <w:p>
            <w:pPr>
              <w:spacing w:after="0"/>
              <w:rPr>
                <w:sz w:val="1"/>
                <w:szCs w:val="1"/>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730"/>
              <w:spacing w:after="0"/>
              <w:rPr>
                <w:sz w:val="20"/>
                <w:szCs w:val="20"/>
                <w:color w:val="auto"/>
              </w:rPr>
            </w:pPr>
            <w:r>
              <w:rPr>
                <w:rFonts w:ascii="Arial" w:cs="Arial" w:eastAsia="Arial" w:hAnsi="Arial"/>
                <w:sz w:val="18"/>
                <w:szCs w:val="18"/>
                <w:color w:val="auto"/>
                <w:w w:val="86"/>
              </w:rPr>
              <w:t>249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recognized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0"/>
              </w:rPr>
              <w:t>(165)</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Balance, March 31, 2021</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86"/>
              </w:rPr>
              <w:t>374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7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6"/>
              </w:rPr>
              <w:t>365</w:t>
            </w:r>
          </w:p>
        </w:tc>
        <w:tc>
          <w:tcPr>
            <w:tcW w:w="0" w:type="dxa"/>
            <w:vAlign w:val="bottom"/>
          </w:tcPr>
          <w:p>
            <w:pPr>
              <w:spacing w:after="0"/>
              <w:rPr>
                <w:sz w:val="1"/>
                <w:szCs w:val="1"/>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730"/>
              <w:spacing w:after="0"/>
              <w:rPr>
                <w:sz w:val="20"/>
                <w:szCs w:val="20"/>
                <w:color w:val="auto"/>
              </w:rPr>
            </w:pPr>
            <w:r>
              <w:rPr>
                <w:rFonts w:ascii="Arial" w:cs="Arial" w:eastAsia="Arial" w:hAnsi="Arial"/>
                <w:sz w:val="18"/>
                <w:szCs w:val="18"/>
                <w:color w:val="auto"/>
                <w:w w:val="86"/>
              </w:rPr>
              <w:t>170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recognized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0"/>
              </w:rPr>
              <w:t>(196)</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86"/>
              </w:rPr>
              <w:t>339</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The balances of Sunoco LP’s contract assets were as follows:</w:t>
            </w: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24"/>
                <w:szCs w:val="24"/>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7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Contract balances: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3"/>
              </w:rPr>
              <w:t>121</w:t>
            </w:r>
          </w:p>
        </w:tc>
        <w:tc>
          <w:tcPr>
            <w:tcW w:w="0" w:type="dxa"/>
            <w:vAlign w:val="bottom"/>
          </w:tcPr>
          <w:p>
            <w:pPr>
              <w:spacing w:after="0"/>
              <w:rPr>
                <w:sz w:val="1"/>
                <w:szCs w:val="1"/>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Accounts receivable from contracts with customers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left="750"/>
              <w:spacing w:after="0"/>
              <w:rPr>
                <w:sz w:val="20"/>
                <w:szCs w:val="20"/>
                <w:color w:val="auto"/>
              </w:rPr>
            </w:pPr>
            <w:r>
              <w:rPr>
                <w:rFonts w:ascii="Arial" w:cs="Arial" w:eastAsia="Arial" w:hAnsi="Arial"/>
                <w:sz w:val="18"/>
                <w:szCs w:val="18"/>
                <w:color w:val="auto"/>
                <w:w w:val="93"/>
              </w:rPr>
              <w:t>256</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Costs to Obtain or Fulfill a Contract</w:t>
      </w:r>
    </w:p>
    <w:p>
      <w:pPr>
        <w:spacing w:after="0" w:line="17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Sunoco LP recognizes an asset from the costs incurred to obtain a contract (e.g., sales commissions) only if it expects to recover those costs. On the other hand, the costs to fulfill a contract are capitalized if the costs are specifically identifiable to a contract, would result in enhancing resources that will be used in satisfying performance obligations in the future and are expected to be recovered. These capitalized costs are recorded as a part of other current assets and other non-current assets and are amortized on a systematic basis consistent with the pattern of transfer of the goods or services to which such costs relate. The amount of amortization expense that Sunoco LP recognized for the three months ended March 31, 2021 and 2020 was $4 million and $5 million, respectively. Sunoco LP has also made a policy election of expensing the costs to obtain a contract, as and when they are incurred, in cases where the expected amortization period is one year or less.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 Obligations</w:t>
      </w:r>
    </w:p>
    <w:p>
      <w:pPr>
        <w:spacing w:after="0" w:line="17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At contract inception, the Partnership assesses the goods and services promised in its contracts with customers and identifies a performance obligation for each promise to transfer a good or service (or bundle of goods or services) that is distinct. To identify the performance obligations, the Partnership considers all the goods or services promised in the contract, whether explicitly stated or implied based on customary business practices. For a contract that has more than one performance obligation, the Partnership allocates the total contract consideration it expects to be entitled to, to each distinct performance obligation based on a standalone-selling price basis. Revenue is recognized when (or as) the performance obligations are satisfied, that is, when the customer obtains control of the good or service. Certain of our contracts contain variable components, which, when combined with the fixed component are considered a single performance obligation. For these types of contacts, only the fixed component of the contracts are included in the table below.</w:t>
      </w:r>
    </w:p>
    <w:p>
      <w:pPr>
        <w:spacing w:after="0" w:line="13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March 31, 2021, the aggregate amount of transaction price allocated to unsatisfied (or partially satisfied) performance obligations is $40.32 billion, and the Partnership expects to recognize this amount as revenue within the time bands illustrated below:</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color w:val="auto"/>
                <w:w w:val="89"/>
              </w:rPr>
              <w:t>Years Ending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(remainder)</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56"/>
        </w:trPr>
        <w:tc>
          <w:tcPr>
            <w:tcW w:w="38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Revenue expected to be recognized on contracts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24,935</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40,323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 customers existing as of March 31, 2021</w:t>
            </w:r>
          </w:p>
        </w:tc>
        <w:tc>
          <w:tcPr>
            <w:tcW w:w="18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right="7500" w:hanging="332"/>
        <w:spacing w:after="0" w:line="440" w:lineRule="auto"/>
        <w:tabs>
          <w:tab w:leader="none" w:pos="33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DERIVATIVE ASSETS AND LIABILITIES </w:t>
      </w:r>
      <w:r>
        <w:rPr>
          <w:rFonts w:ascii="Arial" w:cs="Arial" w:eastAsia="Arial" w:hAnsi="Arial"/>
          <w:sz w:val="18"/>
          <w:szCs w:val="18"/>
          <w:b w:val="1"/>
          <w:bCs w:val="1"/>
          <w:color w:val="auto"/>
        </w:rPr>
        <w:t>Commodity Price Risk</w:t>
      </w:r>
    </w:p>
    <w:p>
      <w:pPr>
        <w:spacing w:after="0" w:line="1"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29"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use futures and basis swaps, designated as fair value hedges, to hedge our natural gas inventory stored in our Bammel storage facility. At hedge inception, we lock in a margin by purchasing gas in the spot market or off peak season and entering into a financial contract. Changes in the spreads between the forward natural gas prices and the physical inventory 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spacing w:after="0" w:line="133" w:lineRule="exact"/>
        <w:rPr>
          <w:rFonts w:ascii="Arial" w:cs="Arial" w:eastAsia="Arial" w:hAnsi="Arial"/>
          <w:sz w:val="18"/>
          <w:szCs w:val="18"/>
          <w:b w:val="1"/>
          <w:bCs w:val="1"/>
          <w:color w:val="auto"/>
        </w:rPr>
      </w:pPr>
    </w:p>
    <w:p>
      <w:pPr>
        <w:ind w:left="34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use futures, swaps and options to hedge the sales price of natural gas we retain for fees in our intrastate transportation and storage segment and operational gas sales in our interstate transportation and storage segment. These contracts are not designated as hedges for accounting purposes.</w:t>
      </w:r>
    </w:p>
    <w:p>
      <w:pPr>
        <w:spacing w:after="0" w:line="6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132" w:lineRule="exact"/>
        <w:rPr>
          <w:rFonts w:ascii="Arial" w:cs="Arial" w:eastAsia="Arial" w:hAnsi="Arial"/>
          <w:sz w:val="18"/>
          <w:szCs w:val="18"/>
          <w:b w:val="1"/>
          <w:bCs w:val="1"/>
          <w:color w:val="auto"/>
        </w:rPr>
      </w:pPr>
    </w:p>
    <w:p>
      <w:pPr>
        <w:ind w:lef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utilize swaps, futures and other derivative instruments to mitigate the risk associated with market movements in the price of refined products and NGLs to manage our storage facilities and the purchase and sale of purity NGL. These contracts are not designated as hedges for accounting purposes.</w:t>
      </w:r>
    </w:p>
    <w:p>
      <w:pPr>
        <w:spacing w:after="0" w:line="69"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29" w:lineRule="exact"/>
        <w:rPr>
          <w:rFonts w:ascii="Arial" w:cs="Arial" w:eastAsia="Arial" w:hAnsi="Arial"/>
          <w:sz w:val="18"/>
          <w:szCs w:val="18"/>
          <w:b w:val="1"/>
          <w:bCs w:val="1"/>
          <w:color w:val="auto"/>
        </w:rPr>
      </w:pPr>
    </w:p>
    <w:p>
      <w:pPr>
        <w:jc w:val="both"/>
        <w:ind w:left="3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We use financial commodity derivatives to take advantage of market opportunities in our trading activities which complement our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transportation and storage segment, the degree of earnings volatility that can occur may be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our outstanding commodity-related derivatives: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2960" w:type="dxa"/>
            <w:vAlign w:val="bottom"/>
            <w:gridSpan w:val="4"/>
          </w:tcPr>
          <w:p>
            <w:pPr>
              <w:ind w:left="860"/>
              <w:spacing w:after="0"/>
              <w:rPr>
                <w:sz w:val="20"/>
                <w:szCs w:val="20"/>
                <w:color w:val="auto"/>
              </w:rPr>
            </w:pPr>
            <w:r>
              <w:rPr>
                <w:rFonts w:ascii="Arial" w:cs="Arial" w:eastAsia="Arial" w:hAnsi="Arial"/>
                <w:sz w:val="18"/>
                <w:szCs w:val="18"/>
                <w:color w:val="auto"/>
              </w:rPr>
              <w:t>March 31, 2021</w:t>
            </w:r>
          </w:p>
        </w:tc>
        <w:tc>
          <w:tcPr>
            <w:tcW w:w="2900" w:type="dxa"/>
            <w:vAlign w:val="bottom"/>
            <w:gridSpan w:val="3"/>
          </w:tcPr>
          <w:p>
            <w:pPr>
              <w:ind w:left="74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223"/>
        </w:trPr>
        <w:tc>
          <w:tcPr>
            <w:tcW w:w="4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Mark-to-Market Derivatives</w:t>
            </w: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Notional Volume</w:t>
            </w:r>
          </w:p>
        </w:tc>
        <w:tc>
          <w:tcPr>
            <w:tcW w:w="13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Maturity</w:t>
            </w:r>
          </w:p>
        </w:tc>
        <w:tc>
          <w:tcPr>
            <w:tcW w:w="100" w:type="dxa"/>
            <w:vAlign w:val="bottom"/>
          </w:tcPr>
          <w:p>
            <w:pPr>
              <w:spacing w:after="0"/>
              <w:rPr>
                <w:sz w:val="19"/>
                <w:szCs w:val="19"/>
                <w:color w:val="auto"/>
              </w:rPr>
            </w:pPr>
          </w:p>
        </w:tc>
        <w:tc>
          <w:tcPr>
            <w:tcW w:w="15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Notional Volume</w:t>
            </w:r>
          </w:p>
        </w:tc>
        <w:tc>
          <w:tcPr>
            <w:tcW w:w="1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Maturity</w:t>
            </w:r>
          </w:p>
        </w:tc>
        <w:tc>
          <w:tcPr>
            <w:tcW w:w="0" w:type="dxa"/>
            <w:vAlign w:val="bottom"/>
          </w:tcPr>
          <w:p>
            <w:pPr>
              <w:spacing w:after="0"/>
              <w:rPr>
                <w:sz w:val="1"/>
                <w:szCs w:val="1"/>
                <w:color w:val="auto"/>
              </w:rPr>
            </w:pPr>
          </w:p>
        </w:tc>
      </w:tr>
      <w:tr>
        <w:trPr>
          <w:trHeight w:val="209"/>
        </w:trPr>
        <w:tc>
          <w:tcPr>
            <w:tcW w:w="4640" w:type="dxa"/>
            <w:vAlign w:val="bottom"/>
            <w:vMerge w:val="continue"/>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i w:val="1"/>
                <w:iCs w:val="1"/>
                <w:color w:val="auto"/>
              </w:rPr>
              <w:t>(Trading)</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Basis Swaps IFERC/NYMEX </w:t>
            </w:r>
            <w:r>
              <w:rPr>
                <w:rFonts w:ascii="Arial" w:cs="Arial" w:eastAsia="Arial" w:hAnsi="Arial"/>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2021-2022</w:t>
            </w:r>
          </w:p>
        </w:tc>
        <w:tc>
          <w:tcPr>
            <w:tcW w:w="0" w:type="dxa"/>
            <w:vAlign w:val="bottom"/>
          </w:tcPr>
          <w:p>
            <w:pPr>
              <w:spacing w:after="0"/>
              <w:rPr>
                <w:sz w:val="1"/>
                <w:szCs w:val="1"/>
                <w:color w:val="auto"/>
              </w:rPr>
            </w:pPr>
          </w:p>
        </w:tc>
      </w:tr>
      <w:tr>
        <w:trPr>
          <w:trHeight w:val="229"/>
        </w:trPr>
        <w:tc>
          <w:tcPr>
            <w:tcW w:w="464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38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2021-2022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 (Megawatt):</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Arial" w:cs="Arial" w:eastAsia="Arial" w:hAnsi="Arial"/>
                <w:sz w:val="18"/>
                <w:szCs w:val="18"/>
                <w:color w:val="auto"/>
              </w:rPr>
              <w:t>Forwards</w:t>
            </w:r>
          </w:p>
        </w:tc>
        <w:tc>
          <w:tcPr>
            <w:tcW w:w="1380" w:type="dxa"/>
            <w:vAlign w:val="bottom"/>
          </w:tcPr>
          <w:p>
            <w:pPr>
              <w:jc w:val="right"/>
              <w:spacing w:after="0"/>
              <w:rPr>
                <w:sz w:val="20"/>
                <w:szCs w:val="20"/>
                <w:color w:val="auto"/>
              </w:rPr>
            </w:pPr>
            <w:r>
              <w:rPr>
                <w:rFonts w:ascii="Arial" w:cs="Arial" w:eastAsia="Arial" w:hAnsi="Arial"/>
                <w:sz w:val="18"/>
                <w:szCs w:val="18"/>
                <w:color w:val="auto"/>
              </w:rPr>
              <w:t>408,800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1,392,400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2021-2029</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2021-2022</w:t>
            </w: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1380" w:type="dxa"/>
            <w:vAlign w:val="bottom"/>
          </w:tcPr>
          <w:p>
            <w:pPr>
              <w:jc w:val="right"/>
              <w:spacing w:after="0"/>
              <w:rPr>
                <w:sz w:val="20"/>
                <w:szCs w:val="20"/>
                <w:color w:val="auto"/>
              </w:rPr>
            </w:pPr>
            <w:r>
              <w:rPr>
                <w:rFonts w:ascii="Arial" w:cs="Arial" w:eastAsia="Arial" w:hAnsi="Arial"/>
                <w:sz w:val="18"/>
                <w:szCs w:val="18"/>
                <w:color w:val="auto"/>
              </w:rPr>
              <w:t>174,398</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519,071</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 Calls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(202,034)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2,343,293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i w:val="1"/>
                <w:iCs w:val="1"/>
                <w:color w:val="auto"/>
              </w:rPr>
              <w:t>(Non-Trading)</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380" w:type="dxa"/>
            <w:vAlign w:val="bottom"/>
          </w:tcPr>
          <w:p>
            <w:pPr>
              <w:jc w:val="right"/>
              <w:spacing w:after="0"/>
              <w:rPr>
                <w:sz w:val="20"/>
                <w:szCs w:val="20"/>
                <w:color w:val="auto"/>
              </w:rPr>
            </w:pPr>
            <w:r>
              <w:rPr>
                <w:rFonts w:ascii="Arial" w:cs="Arial" w:eastAsia="Arial" w:hAnsi="Arial"/>
                <w:sz w:val="18"/>
                <w:szCs w:val="18"/>
                <w:color w:val="auto"/>
              </w:rPr>
              <w:t>(25,610)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(29,173)</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2021-2022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380" w:type="dxa"/>
            <w:vAlign w:val="bottom"/>
          </w:tcPr>
          <w:p>
            <w:pPr>
              <w:jc w:val="right"/>
              <w:spacing w:after="0"/>
              <w:rPr>
                <w:sz w:val="20"/>
                <w:szCs w:val="20"/>
                <w:color w:val="auto"/>
              </w:rPr>
            </w:pPr>
            <w:r>
              <w:rPr>
                <w:rFonts w:ascii="Arial" w:cs="Arial" w:eastAsia="Arial" w:hAnsi="Arial"/>
                <w:sz w:val="18"/>
                <w:szCs w:val="18"/>
                <w:color w:val="auto"/>
              </w:rPr>
              <w:t>(18,425)</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(53,575)</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2021-2022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NGLs (MBbls) – Forwards/Swaps</w:t>
            </w:r>
          </w:p>
        </w:tc>
        <w:tc>
          <w:tcPr>
            <w:tcW w:w="138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2021-2022</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(MBbls) – Futures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2021-2023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Crude (MBbls) – Forwards/Swaps</w:t>
            </w:r>
          </w:p>
        </w:tc>
        <w:tc>
          <w:tcPr>
            <w:tcW w:w="138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Hedging Derivatives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i w:val="1"/>
                <w:iCs w:val="1"/>
                <w:color w:val="auto"/>
              </w:rPr>
              <w:t>(Non-Trading)</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380" w:type="dxa"/>
            <w:vAlign w:val="bottom"/>
          </w:tcPr>
          <w:p>
            <w:pPr>
              <w:jc w:val="right"/>
              <w:spacing w:after="0"/>
              <w:rPr>
                <w:sz w:val="20"/>
                <w:szCs w:val="20"/>
                <w:color w:val="auto"/>
              </w:rPr>
            </w:pPr>
            <w:r>
              <w:rPr>
                <w:rFonts w:ascii="Arial" w:cs="Arial" w:eastAsia="Arial" w:hAnsi="Arial"/>
                <w:sz w:val="18"/>
                <w:szCs w:val="18"/>
                <w:color w:val="auto"/>
              </w:rPr>
              <w:t>(14,068)</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Arial" w:cs="Arial" w:eastAsia="Arial" w:hAnsi="Arial"/>
                <w:sz w:val="18"/>
                <w:szCs w:val="18"/>
                <w:color w:val="auto"/>
              </w:rPr>
              <w:t>Hedged Item – Inventory</w:t>
            </w:r>
          </w:p>
        </w:tc>
        <w:tc>
          <w:tcPr>
            <w:tcW w:w="1380" w:type="dxa"/>
            <w:vAlign w:val="bottom"/>
          </w:tcPr>
          <w:p>
            <w:pPr>
              <w:jc w:val="right"/>
              <w:spacing w:after="0"/>
              <w:rPr>
                <w:sz w:val="20"/>
                <w:szCs w:val="20"/>
                <w:color w:val="auto"/>
              </w:rPr>
            </w:pPr>
            <w:r>
              <w:rPr>
                <w:rFonts w:ascii="Arial" w:cs="Arial" w:eastAsia="Arial" w:hAnsi="Arial"/>
                <w:sz w:val="18"/>
                <w:szCs w:val="18"/>
                <w:color w:val="auto"/>
              </w:rPr>
              <w:t>14,068</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80" w:hanging="248"/>
        <w:spacing w:after="0" w:line="227" w:lineRule="auto"/>
        <w:tabs>
          <w:tab w:leader="none" w:pos="56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aggregate amounts for open positions related to Houston Ship Channel, Waha Hub, NGPL TexOk, West Louisiana Zone and Henry Hub locations.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We are exposed to market risk for changes in interest rates. To maintain a cost effective capital structure, we borrow funds using a mix of fixed rate debt and variable rate debt. We also manage our interest rate exposure by utilizing interest rate swaps to achieve a desired mix of fixed and variable rate debt. We also utilize forward starting interest rate swaps to lock in the rate on a portion of our anticipated debt issuances.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interest rate swaps outstanding, none of which were designated as hedges for accounting purposes:</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w w:val="98"/>
              </w:rPr>
              <w:t>Notional Amount Outstanding</w:t>
            </w:r>
          </w:p>
        </w:tc>
        <w:tc>
          <w:tcPr>
            <w:tcW w:w="0" w:type="dxa"/>
            <w:vAlign w:val="bottom"/>
          </w:tcPr>
          <w:p>
            <w:pPr>
              <w:spacing w:after="0"/>
              <w:rPr>
                <w:sz w:val="1"/>
                <w:szCs w:val="1"/>
                <w:color w:val="auto"/>
              </w:rPr>
            </w:pPr>
          </w:p>
        </w:tc>
      </w:tr>
      <w:tr>
        <w:trPr>
          <w:trHeight w:val="183"/>
        </w:trPr>
        <w:tc>
          <w:tcPr>
            <w:tcW w:w="1400" w:type="dxa"/>
            <w:vAlign w:val="bottom"/>
            <w:gridSpan w:val="2"/>
            <w:vMerge w:val="restart"/>
          </w:tcPr>
          <w:p>
            <w:pPr>
              <w:ind w:left="20"/>
              <w:spacing w:after="0"/>
              <w:rPr>
                <w:sz w:val="20"/>
                <w:szCs w:val="20"/>
                <w:color w:val="auto"/>
              </w:rPr>
            </w:pPr>
            <w:r>
              <w:rPr>
                <w:rFonts w:ascii="Arial" w:cs="Arial" w:eastAsia="Arial" w:hAnsi="Arial"/>
                <w:sz w:val="18"/>
                <w:szCs w:val="18"/>
                <w:color w:val="auto"/>
              </w:rPr>
              <w:t>Term</w:t>
            </w:r>
          </w:p>
        </w:tc>
        <w:tc>
          <w:tcPr>
            <w:tcW w:w="6200" w:type="dxa"/>
            <w:vAlign w:val="bottom"/>
            <w:gridSpan w:val="2"/>
            <w:vMerge w:val="restart"/>
          </w:tcPr>
          <w:p>
            <w:pPr>
              <w:ind w:left="20"/>
              <w:spacing w:after="0"/>
              <w:rPr>
                <w:sz w:val="20"/>
                <w:szCs w:val="20"/>
                <w:color w:val="auto"/>
              </w:rPr>
            </w:pPr>
            <w:r>
              <w:rPr>
                <w:rFonts w:ascii="Arial" w:cs="Arial" w:eastAsia="Arial" w:hAnsi="Arial"/>
                <w:sz w:val="18"/>
                <w:szCs w:val="18"/>
                <w:color w:val="auto"/>
              </w:rPr>
              <w:t>Type</w:t>
            </w:r>
            <w:r>
              <w:rPr>
                <w:rFonts w:ascii="Arial" w:cs="Arial" w:eastAsia="Arial" w:hAnsi="Arial"/>
                <w:sz w:val="23"/>
                <w:szCs w:val="23"/>
                <w:color w:val="auto"/>
                <w:vertAlign w:val="superscript"/>
              </w:rPr>
              <w:t>(1)</w:t>
            </w:r>
          </w:p>
        </w:tc>
        <w:tc>
          <w:tcPr>
            <w:tcW w:w="200" w:type="dxa"/>
            <w:vAlign w:val="bottom"/>
          </w:tcPr>
          <w:p>
            <w:pPr>
              <w:spacing w:after="0"/>
              <w:rPr>
                <w:sz w:val="15"/>
                <w:szCs w:val="15"/>
                <w:color w:val="auto"/>
              </w:rPr>
            </w:pPr>
          </w:p>
        </w:tc>
        <w:tc>
          <w:tcPr>
            <w:tcW w:w="130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5"/>
                <w:szCs w:val="15"/>
                <w:color w:val="auto"/>
              </w:rPr>
            </w:pPr>
          </w:p>
        </w:tc>
        <w:tc>
          <w:tcPr>
            <w:tcW w:w="126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1400" w:type="dxa"/>
            <w:vAlign w:val="bottom"/>
            <w:gridSpan w:val="2"/>
            <w:vMerge w:val="continue"/>
          </w:tcPr>
          <w:p>
            <w:pPr>
              <w:spacing w:after="0"/>
              <w:rPr>
                <w:sz w:val="19"/>
                <w:szCs w:val="19"/>
                <w:color w:val="auto"/>
              </w:rPr>
            </w:pPr>
          </w:p>
        </w:tc>
        <w:tc>
          <w:tcPr>
            <w:tcW w:w="6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128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July 2021</w:t>
            </w:r>
            <w:r>
              <w:rPr>
                <w:rFonts w:ascii="Arial" w:cs="Arial" w:eastAsia="Arial" w:hAnsi="Arial"/>
                <w:sz w:val="23"/>
                <w:szCs w:val="23"/>
                <w:color w:val="auto"/>
                <w:vertAlign w:val="superscript"/>
              </w:rPr>
              <w:t>(2)</w:t>
            </w:r>
          </w:p>
        </w:tc>
        <w:tc>
          <w:tcPr>
            <w:tcW w:w="120" w:type="dxa"/>
            <w:vAlign w:val="bottom"/>
            <w:tcBorders>
              <w:top w:val="single" w:sz="8" w:color="CCEEFF"/>
            </w:tcBorders>
            <w:shd w:val="clear" w:color="auto" w:fill="CCEEFF"/>
          </w:tcPr>
          <w:p>
            <w:pPr>
              <w:spacing w:after="0"/>
              <w:rPr>
                <w:sz w:val="19"/>
                <w:szCs w:val="19"/>
                <w:color w:val="auto"/>
              </w:rPr>
            </w:pPr>
          </w:p>
        </w:tc>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Forward-starting to pay a fixed rate of 3.55% and receive a floating rate</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304"/>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July 2022</w:t>
            </w:r>
            <w:r>
              <w:rPr>
                <w:rFonts w:ascii="Arial" w:cs="Arial" w:eastAsia="Arial" w:hAnsi="Arial"/>
                <w:sz w:val="23"/>
                <w:szCs w:val="23"/>
                <w:color w:val="auto"/>
                <w:vertAlign w:val="superscript"/>
              </w:rPr>
              <w:t>(2)</w:t>
            </w:r>
          </w:p>
        </w:tc>
        <w:tc>
          <w:tcPr>
            <w:tcW w:w="6200" w:type="dxa"/>
            <w:vAlign w:val="bottom"/>
            <w:gridSpan w:val="2"/>
          </w:tcPr>
          <w:p>
            <w:pPr>
              <w:ind w:left="20"/>
              <w:spacing w:after="0"/>
              <w:rPr>
                <w:sz w:val="20"/>
                <w:szCs w:val="20"/>
                <w:color w:val="auto"/>
              </w:rPr>
            </w:pPr>
            <w:r>
              <w:rPr>
                <w:rFonts w:ascii="Arial" w:cs="Arial" w:eastAsia="Arial" w:hAnsi="Arial"/>
                <w:sz w:val="18"/>
                <w:szCs w:val="18"/>
                <w:color w:val="auto"/>
              </w:rPr>
              <w:t>Forward-starting to pay a fixed rate of 3.80% and receive a floating rate</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ind w:left="640" w:hanging="308"/>
        <w:spacing w:after="0" w:line="226" w:lineRule="auto"/>
        <w:tabs>
          <w:tab w:leader="none" w:pos="6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Floating rates are based on 3-month LIBOR.</w:t>
      </w:r>
    </w:p>
    <w:p>
      <w:pPr>
        <w:spacing w:after="0" w:line="93"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the effective date. These forward-starting swaps have terms of 30 years with a mandatory termination date the same as the effective date.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Partnership’s counterparties consist of a diverse portfolio of customers across the energy industry, including petrochemical companies, commercial and industrial end-users, oil and gas producers,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4"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The Partnership has maintenance margin deposits with certain counterparties in the OTC market, primarily with independent system operators and with clearing brokers. Payments on margin deposits are required when the value of a derivative exceeds our pre-established credit limit with the counterparty. Margin deposits are returned to us on or about the settlement date for non-exchange traded derivatives, and we exchange margin calls on a daily basis for exchange traded transactions. Since the margin calls are made daily with the exchange brokers, the fair value of the financial derivative instruments are deemed current and netted in deposits paid to vendors within other current assets in the consolidated balance sheets.</w:t>
      </w:r>
    </w:p>
    <w:p>
      <w:pPr>
        <w:spacing w:after="0" w:line="107"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For financial instruments, failure of a counterparty to perform on a contract could result in our inability to realize amounts that have been recorded on our consolidated balance sheets and recognized in our statement of operations or statement of comprehensive income (loss).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49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3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Derivative Summary</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6100" w:type="dxa"/>
            <w:vAlign w:val="bottom"/>
            <w:gridSpan w:val="5"/>
          </w:tcPr>
          <w:p>
            <w:pPr>
              <w:spacing w:after="0"/>
              <w:rPr>
                <w:sz w:val="20"/>
                <w:szCs w:val="20"/>
                <w:color w:val="auto"/>
              </w:rPr>
            </w:pPr>
            <w:r>
              <w:rPr>
                <w:rFonts w:ascii="Arial" w:cs="Arial" w:eastAsia="Arial" w:hAnsi="Arial"/>
                <w:sz w:val="18"/>
                <w:szCs w:val="18"/>
                <w:color w:val="auto"/>
                <w:w w:val="98"/>
              </w:rPr>
              <w:t>The following table provides a summary of our derivative assets and liabilities: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9"/>
              </w:rPr>
              <w:t>Fair Value of Derivative Instruments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gridSpan w:val="5"/>
          </w:tcPr>
          <w:p>
            <w:pPr>
              <w:ind w:left="600"/>
              <w:spacing w:after="0"/>
              <w:rPr>
                <w:sz w:val="20"/>
                <w:szCs w:val="20"/>
                <w:color w:val="auto"/>
              </w:rPr>
            </w:pPr>
            <w:r>
              <w:rPr>
                <w:rFonts w:ascii="Arial" w:cs="Arial" w:eastAsia="Arial" w:hAnsi="Arial"/>
                <w:sz w:val="18"/>
                <w:szCs w:val="18"/>
                <w:color w:val="auto"/>
              </w:rPr>
              <w:t>Asset Derivatives</w:t>
            </w:r>
          </w:p>
        </w:tc>
        <w:tc>
          <w:tcPr>
            <w:tcW w:w="220" w:type="dxa"/>
            <w:vAlign w:val="bottom"/>
          </w:tcPr>
          <w:p>
            <w:pPr>
              <w:spacing w:after="0"/>
              <w:rPr>
                <w:sz w:val="19"/>
                <w:szCs w:val="19"/>
                <w:color w:val="auto"/>
              </w:rPr>
            </w:pPr>
          </w:p>
        </w:tc>
        <w:tc>
          <w:tcPr>
            <w:tcW w:w="2680" w:type="dxa"/>
            <w:vAlign w:val="bottom"/>
            <w:gridSpan w:val="4"/>
          </w:tcPr>
          <w:p>
            <w:pPr>
              <w:jc w:val="right"/>
              <w:ind w:right="610"/>
              <w:spacing w:after="0"/>
              <w:rPr>
                <w:sz w:val="20"/>
                <w:szCs w:val="20"/>
                <w:color w:val="auto"/>
              </w:rPr>
            </w:pPr>
            <w:r>
              <w:rPr>
                <w:rFonts w:ascii="Arial" w:cs="Arial" w:eastAsia="Arial" w:hAnsi="Arial"/>
                <w:sz w:val="18"/>
                <w:szCs w:val="18"/>
                <w:color w:val="auto"/>
              </w:rPr>
              <w:t>Liability Derivatives</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120"/>
              <w:spacing w:after="0" w:line="169" w:lineRule="exact"/>
              <w:rPr>
                <w:sz w:val="20"/>
                <w:szCs w:val="20"/>
                <w:color w:val="auto"/>
              </w:rPr>
            </w:pPr>
            <w:r>
              <w:rPr>
                <w:rFonts w:ascii="Arial" w:cs="Arial" w:eastAsia="Arial" w:hAnsi="Arial"/>
                <w:sz w:val="18"/>
                <w:szCs w:val="18"/>
                <w:color w:val="auto"/>
              </w:rPr>
              <w:t>March 31,</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color w:val="auto"/>
                <w:w w:val="93"/>
              </w:rPr>
              <w:t>December 31,</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120"/>
              <w:spacing w:after="0" w:line="169" w:lineRule="exact"/>
              <w:rPr>
                <w:sz w:val="20"/>
                <w:szCs w:val="20"/>
                <w:color w:val="auto"/>
              </w:rPr>
            </w:pPr>
            <w:r>
              <w:rPr>
                <w:rFonts w:ascii="Arial" w:cs="Arial" w:eastAsia="Arial" w:hAnsi="Arial"/>
                <w:sz w:val="18"/>
                <w:szCs w:val="18"/>
                <w:color w:val="auto"/>
              </w:rPr>
              <w:t>March 31,</w:t>
            </w: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0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derivatives (margin deposits)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00" w:type="dxa"/>
            <w:vAlign w:val="bottom"/>
            <w:gridSpan w:val="2"/>
          </w:tcPr>
          <w:p>
            <w:pPr>
              <w:ind w:left="180"/>
              <w:spacing w:after="0"/>
              <w:rPr>
                <w:sz w:val="20"/>
                <w:szCs w:val="20"/>
                <w:color w:val="auto"/>
              </w:rPr>
            </w:pPr>
            <w:r>
              <w:rPr>
                <w:rFonts w:ascii="Arial" w:cs="Arial" w:eastAsia="Arial" w:hAnsi="Arial"/>
                <w:sz w:val="18"/>
                <w:szCs w:val="18"/>
                <w:color w:val="auto"/>
              </w:rPr>
              <w:t>Commodity derivatives (margin deposits)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derivatives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00" w:type="dxa"/>
            <w:vAlign w:val="bottom"/>
            <w:gridSpan w:val="2"/>
          </w:tcPr>
          <w:p>
            <w:pPr>
              <w:ind w:left="180"/>
              <w:spacing w:after="0"/>
              <w:rPr>
                <w:sz w:val="20"/>
                <w:szCs w:val="20"/>
                <w:color w:val="auto"/>
              </w:rPr>
            </w:pPr>
            <w:r>
              <w:rPr>
                <w:rFonts w:ascii="Arial" w:cs="Arial" w:eastAsia="Arial" w:hAnsi="Arial"/>
                <w:sz w:val="18"/>
                <w:szCs w:val="18"/>
                <w:color w:val="auto"/>
              </w:rPr>
              <w:t>Interest rate derivatives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Total derivatives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presents the fair value of our recognized derivative assets and liabilities on a gross basis and amounts offset on the consolidated balance sheets that are subject to enforceable master netting arrangements or similar arrangements:</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Asset Derivatives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Liability Derivatives</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120" w:type="dxa"/>
            <w:vAlign w:val="bottom"/>
            <w:vMerge w:val="restart"/>
          </w:tcPr>
          <w:p>
            <w:pPr>
              <w:ind w:left="200"/>
              <w:spacing w:after="0"/>
              <w:rPr>
                <w:sz w:val="20"/>
                <w:szCs w:val="20"/>
                <w:color w:val="auto"/>
              </w:rPr>
            </w:pPr>
            <w:r>
              <w:rPr>
                <w:rFonts w:ascii="Arial" w:cs="Arial" w:eastAsia="Arial" w:hAnsi="Arial"/>
                <w:sz w:val="18"/>
                <w:szCs w:val="18"/>
                <w:color w:val="auto"/>
                <w:w w:val="99"/>
              </w:rPr>
              <w:t>Balance Sheet Location</w:t>
            </w:r>
          </w:p>
        </w:tc>
        <w:tc>
          <w:tcPr>
            <w:tcW w:w="12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1260" w:type="dxa"/>
            <w:vAlign w:val="bottom"/>
            <w:gridSpan w:val="2"/>
          </w:tcPr>
          <w:p>
            <w:pPr>
              <w:ind w:left="100"/>
              <w:spacing w:after="0" w:line="169" w:lineRule="exact"/>
              <w:rPr>
                <w:sz w:val="20"/>
                <w:szCs w:val="20"/>
                <w:color w:val="auto"/>
              </w:rPr>
            </w:pPr>
            <w:r>
              <w:rPr>
                <w:rFonts w:ascii="Arial" w:cs="Arial" w:eastAsia="Arial" w:hAnsi="Arial"/>
                <w:sz w:val="18"/>
                <w:szCs w:val="18"/>
                <w:color w:val="2C2C2C"/>
              </w:rPr>
              <w:t>March 31,</w:t>
            </w:r>
          </w:p>
        </w:tc>
        <w:tc>
          <w:tcPr>
            <w:tcW w:w="160" w:type="dxa"/>
            <w:vAlign w:val="bottom"/>
          </w:tcPr>
          <w:p>
            <w:pPr>
              <w:spacing w:after="0"/>
              <w:rPr>
                <w:sz w:val="14"/>
                <w:szCs w:val="14"/>
                <w:color w:val="auto"/>
              </w:rPr>
            </w:pPr>
          </w:p>
        </w:tc>
        <w:tc>
          <w:tcPr>
            <w:tcW w:w="1240" w:type="dxa"/>
            <w:vAlign w:val="bottom"/>
          </w:tcPr>
          <w:p>
            <w:pPr>
              <w:jc w:val="right"/>
              <w:ind w:right="110"/>
              <w:spacing w:after="0" w:line="169" w:lineRule="exact"/>
              <w:rPr>
                <w:sz w:val="20"/>
                <w:szCs w:val="20"/>
                <w:color w:val="auto"/>
              </w:rPr>
            </w:pPr>
            <w:r>
              <w:rPr>
                <w:rFonts w:ascii="Arial" w:cs="Arial" w:eastAsia="Arial" w:hAnsi="Arial"/>
                <w:sz w:val="18"/>
                <w:szCs w:val="18"/>
                <w:color w:val="auto"/>
                <w:w w:val="90"/>
              </w:rPr>
              <w:t>December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00"/>
              <w:spacing w:after="0" w:line="169" w:lineRule="exact"/>
              <w:rPr>
                <w:sz w:val="20"/>
                <w:szCs w:val="20"/>
                <w:color w:val="auto"/>
              </w:rPr>
            </w:pPr>
            <w:r>
              <w:rPr>
                <w:rFonts w:ascii="Arial" w:cs="Arial" w:eastAsia="Arial" w:hAnsi="Arial"/>
                <w:sz w:val="18"/>
                <w:szCs w:val="18"/>
                <w:color w:val="2C2C2C"/>
              </w:rPr>
              <w:t>March 31,</w:t>
            </w:r>
          </w:p>
        </w:tc>
        <w:tc>
          <w:tcPr>
            <w:tcW w:w="140" w:type="dxa"/>
            <w:vAlign w:val="bottom"/>
          </w:tcPr>
          <w:p>
            <w:pPr>
              <w:spacing w:after="0"/>
              <w:rPr>
                <w:sz w:val="14"/>
                <w:szCs w:val="14"/>
                <w:color w:val="auto"/>
              </w:rPr>
            </w:pPr>
          </w:p>
        </w:tc>
        <w:tc>
          <w:tcPr>
            <w:tcW w:w="1240" w:type="dxa"/>
            <w:vAlign w:val="bottom"/>
          </w:tcPr>
          <w:p>
            <w:pPr>
              <w:jc w:val="right"/>
              <w:ind w:right="90"/>
              <w:spacing w:after="0" w:line="169"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2C2C2C"/>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2C2C2C"/>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69"/>
        </w:trPr>
        <w:tc>
          <w:tcPr>
            <w:tcW w:w="24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Derivatives without offsetting</w:t>
            </w:r>
          </w:p>
        </w:tc>
        <w:tc>
          <w:tcPr>
            <w:tcW w:w="21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Derivative liabilities</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2440" w:type="dxa"/>
            <w:vAlign w:val="bottom"/>
            <w:gridSpan w:val="3"/>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12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gridSpan w:val="4"/>
          </w:tcPr>
          <w:p>
            <w:pPr>
              <w:ind w:left="20"/>
              <w:spacing w:after="0"/>
              <w:rPr>
                <w:sz w:val="20"/>
                <w:szCs w:val="20"/>
                <w:color w:val="auto"/>
              </w:rPr>
            </w:pPr>
            <w:r>
              <w:rPr>
                <w:rFonts w:ascii="Arial" w:cs="Arial" w:eastAsia="Arial" w:hAnsi="Arial"/>
                <w:sz w:val="18"/>
                <w:szCs w:val="18"/>
                <w:color w:val="auto"/>
              </w:rPr>
              <w:t>Derivatives in offsetting agreements: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OTC contracts</w:t>
            </w:r>
          </w:p>
        </w:tc>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Derivative assets (liabilities)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75"/>
        </w:trPr>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Broker cleared derivative</w:t>
            </w:r>
          </w:p>
        </w:tc>
        <w:tc>
          <w:tcPr>
            <w:tcW w:w="244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Other current assets</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2400" w:type="dxa"/>
            <w:vAlign w:val="bottom"/>
          </w:tcPr>
          <w:p>
            <w:pPr>
              <w:ind w:left="340"/>
              <w:spacing w:after="0"/>
              <w:rPr>
                <w:sz w:val="20"/>
                <w:szCs w:val="20"/>
                <w:color w:val="auto"/>
              </w:rPr>
            </w:pPr>
            <w:r>
              <w:rPr>
                <w:rFonts w:ascii="Arial" w:cs="Arial" w:eastAsia="Arial" w:hAnsi="Arial"/>
                <w:sz w:val="18"/>
                <w:szCs w:val="18"/>
                <w:color w:val="auto"/>
              </w:rPr>
              <w:t>contracts</w:t>
            </w:r>
          </w:p>
        </w:tc>
        <w:tc>
          <w:tcPr>
            <w:tcW w:w="2440" w:type="dxa"/>
            <w:vAlign w:val="bottom"/>
            <w:gridSpan w:val="3"/>
          </w:tcPr>
          <w:p>
            <w:pPr>
              <w:ind w:left="180"/>
              <w:spacing w:after="0"/>
              <w:rPr>
                <w:sz w:val="20"/>
                <w:szCs w:val="20"/>
                <w:color w:val="auto"/>
              </w:rPr>
            </w:pPr>
            <w:r>
              <w:rPr>
                <w:rFonts w:ascii="Arial" w:cs="Arial" w:eastAsia="Arial" w:hAnsi="Arial"/>
                <w:sz w:val="18"/>
                <w:szCs w:val="18"/>
                <w:color w:val="auto"/>
              </w:rPr>
              <w:t>(liabilities)</w:t>
            </w: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gross derivatives</w:t>
            </w:r>
          </w:p>
        </w:tc>
        <w:tc>
          <w:tcPr>
            <w:tcW w:w="2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Offsetting agreements: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Counterparty netting</w:t>
            </w:r>
          </w:p>
        </w:tc>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Derivative assets (liabilities)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75"/>
        </w:trPr>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Counterparty netting</w:t>
            </w:r>
          </w:p>
        </w:tc>
        <w:tc>
          <w:tcPr>
            <w:tcW w:w="244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Other current assets</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color w:val="auto"/>
              </w:rPr>
              <w:t>(liabilities)</w:t>
            </w: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derivatives</w:t>
            </w:r>
          </w:p>
        </w:tc>
        <w:tc>
          <w:tcPr>
            <w:tcW w:w="2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We disclose the non-exchange traded financial derivative instruments as derivative assets and liabilities on our consolidated balance sheets at fair value with amounts classified as either current or long-term depending on the anticipated settlement date.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summarizes the location and amounts recognized in our consolidated statements of operations with respect to our derivative financial instruments: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3860" w:type="dxa"/>
            <w:vAlign w:val="bottom"/>
            <w:gridSpan w:val="2"/>
            <w:vMerge w:val="restart"/>
          </w:tcPr>
          <w:p>
            <w:pPr>
              <w:ind w:left="1560"/>
              <w:spacing w:after="0"/>
              <w:rPr>
                <w:sz w:val="20"/>
                <w:szCs w:val="20"/>
                <w:color w:val="auto"/>
              </w:rPr>
            </w:pPr>
            <w:r>
              <w:rPr>
                <w:rFonts w:ascii="Arial" w:cs="Arial" w:eastAsia="Arial" w:hAnsi="Arial"/>
                <w:sz w:val="18"/>
                <w:szCs w:val="18"/>
                <w:color w:val="auto"/>
              </w:rPr>
              <w:t>Location</w:t>
            </w:r>
          </w:p>
        </w:tc>
        <w:tc>
          <w:tcPr>
            <w:tcW w:w="2880" w:type="dxa"/>
            <w:vAlign w:val="bottom"/>
            <w:gridSpan w:val="5"/>
          </w:tcPr>
          <w:p>
            <w:pPr>
              <w:jc w:val="center"/>
              <w:spacing w:after="0"/>
              <w:rPr>
                <w:sz w:val="20"/>
                <w:szCs w:val="20"/>
                <w:color w:val="auto"/>
              </w:rPr>
            </w:pPr>
            <w:r>
              <w:rPr>
                <w:rFonts w:ascii="Arial" w:cs="Arial" w:eastAsia="Arial" w:hAnsi="Arial"/>
                <w:sz w:val="18"/>
                <w:szCs w:val="18"/>
                <w:color w:val="auto"/>
                <w:w w:val="92"/>
              </w:rPr>
              <w:t>Amount of Gain (Loss) Recognized in</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38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gridSpan w:val="4"/>
          </w:tcPr>
          <w:p>
            <w:pPr>
              <w:jc w:val="center"/>
              <w:ind w:right="210"/>
              <w:spacing w:after="0"/>
              <w:rPr>
                <w:sz w:val="20"/>
                <w:szCs w:val="20"/>
                <w:color w:val="auto"/>
              </w:rPr>
            </w:pPr>
            <w:r>
              <w:rPr>
                <w:rFonts w:ascii="Arial" w:cs="Arial" w:eastAsia="Arial" w:hAnsi="Arial"/>
                <w:sz w:val="18"/>
                <w:szCs w:val="18"/>
                <w:color w:val="auto"/>
                <w:w w:val="92"/>
              </w:rPr>
              <w:t>Income on Derivatives</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3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gridSpan w:val="4"/>
          </w:tcPr>
          <w:p>
            <w:pPr>
              <w:jc w:val="center"/>
              <w:ind w:right="210"/>
              <w:spacing w:after="0" w:line="169" w:lineRule="exact"/>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92"/>
              </w:rPr>
              <w:t>March 31,</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derivatives – Trading</w:t>
            </w: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160" w:type="dxa"/>
            <w:vAlign w:val="bottom"/>
          </w:tcPr>
          <w:p>
            <w:pPr>
              <w:ind w:left="180"/>
              <w:spacing w:after="0"/>
              <w:rPr>
                <w:sz w:val="20"/>
                <w:szCs w:val="20"/>
                <w:color w:val="auto"/>
              </w:rPr>
            </w:pPr>
            <w:r>
              <w:rPr>
                <w:rFonts w:ascii="Arial" w:cs="Arial" w:eastAsia="Arial" w:hAnsi="Arial"/>
                <w:sz w:val="18"/>
                <w:szCs w:val="18"/>
                <w:color w:val="auto"/>
              </w:rPr>
              <w:t>Commodity derivatives – Non-trading</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derivatives</w:t>
            </w: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interest rate derivatives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4160" w:type="dxa"/>
            <w:vAlign w:val="bottom"/>
          </w:tcPr>
          <w:p>
            <w:pPr>
              <w:ind w:left="340"/>
              <w:spacing w:after="0"/>
              <w:rPr>
                <w:sz w:val="20"/>
                <w:szCs w:val="20"/>
                <w:color w:val="auto"/>
              </w:rPr>
            </w:pPr>
            <w:r>
              <w:rPr>
                <w:rFonts w:ascii="Arial" w:cs="Arial" w:eastAsia="Arial" w:hAnsi="Arial"/>
                <w:sz w:val="18"/>
                <w:szCs w:val="18"/>
                <w:color w:val="auto"/>
              </w:rPr>
              <w:t>Total</w:t>
            </w: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175"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Partnership has related party transactions with several of its unconsolidated affiliates. In addition to commercial transactions, these transactions include the provision of certain management services and leases of certain assets.</w:t>
      </w:r>
    </w:p>
    <w:p>
      <w:pPr>
        <w:spacing w:after="0" w:line="11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revenues from related companies on our consolidated statements of operations:</w:t>
      </w:r>
    </w:p>
    <w:p>
      <w:pPr>
        <w:spacing w:after="0" w:line="196"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Three Months Ended</w:t>
      </w:r>
    </w:p>
    <w:p>
      <w:pPr>
        <w:jc w:val="center"/>
        <w:ind w:left="734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4445</wp:posOffset>
            </wp:positionV>
            <wp:extent cx="18516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8360"/>
        <w:spacing w:after="0"/>
        <w:tabs>
          <w:tab w:leader="none" w:pos="986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1797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7970" cy="154305"/>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7840" w:val="left"/>
          <w:tab w:leader="none" w:pos="8880" w:val="left"/>
          <w:tab w:leader="none" w:pos="9340" w:val="left"/>
          <w:tab w:leader="none" w:pos="10400" w:val="left"/>
        </w:tabs>
        <w:rPr>
          <w:sz w:val="20"/>
          <w:szCs w:val="20"/>
          <w:color w:val="auto"/>
        </w:rPr>
      </w:pPr>
      <w:r>
        <w:rPr>
          <w:rFonts w:ascii="Arial" w:cs="Arial" w:eastAsia="Arial" w:hAnsi="Arial"/>
          <w:sz w:val="18"/>
          <w:szCs w:val="18"/>
          <w:color w:val="auto"/>
        </w:rPr>
        <w:t>Revenues from related companies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130</w:t>
        <w:tab/>
        <w:t>$</w:t>
      </w:r>
      <w:r>
        <w:rPr>
          <w:sz w:val="20"/>
          <w:szCs w:val="20"/>
          <w:color w:val="auto"/>
        </w:rPr>
        <w:tab/>
      </w:r>
      <w:r>
        <w:rPr>
          <w:rFonts w:ascii="Arial" w:cs="Arial" w:eastAsia="Arial" w:hAnsi="Arial"/>
          <w:sz w:val="15"/>
          <w:szCs w:val="15"/>
          <w:color w:val="auto"/>
        </w:rPr>
        <w:t>133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accounts receivable from related companies on our consolidated balance sheets: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March 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29"/>
        </w:trPr>
        <w:tc>
          <w:tcPr>
            <w:tcW w:w="7580" w:type="dxa"/>
            <w:vAlign w:val="bottom"/>
            <w:vMerge w:val="restart"/>
          </w:tcPr>
          <w:p>
            <w:pPr>
              <w:ind w:left="20"/>
              <w:spacing w:after="0"/>
              <w:rPr>
                <w:sz w:val="20"/>
                <w:szCs w:val="20"/>
                <w:color w:val="auto"/>
              </w:rPr>
            </w:pPr>
            <w:r>
              <w:rPr>
                <w:rFonts w:ascii="Arial" w:cs="Arial" w:eastAsia="Arial" w:hAnsi="Arial"/>
                <w:sz w:val="18"/>
                <w:szCs w:val="18"/>
                <w:color w:val="auto"/>
              </w:rPr>
              <w:t>Accounts receivable from related companies:</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FGT</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Phillips 66</w:t>
            </w:r>
          </w:p>
        </w:tc>
        <w:tc>
          <w:tcPr>
            <w:tcW w:w="1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Various</w:t>
            </w:r>
          </w:p>
        </w:tc>
        <w:tc>
          <w:tcPr>
            <w:tcW w:w="1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7580" w:type="dxa"/>
            <w:vAlign w:val="bottom"/>
          </w:tcPr>
          <w:p>
            <w:pPr>
              <w:ind w:left="340"/>
              <w:spacing w:after="0"/>
              <w:rPr>
                <w:sz w:val="20"/>
                <w:szCs w:val="20"/>
                <w:color w:val="auto"/>
              </w:rPr>
            </w:pPr>
            <w:r>
              <w:rPr>
                <w:rFonts w:ascii="Arial" w:cs="Arial" w:eastAsia="Arial" w:hAnsi="Arial"/>
                <w:sz w:val="18"/>
                <w:szCs w:val="18"/>
                <w:color w:val="auto"/>
              </w:rPr>
              <w:t>Total accounts receivable from related companies</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As of March 31, 2021 and December 31, 2020, accounts payable to related companies on our consolidated balance sheets totaled $23 million and $27 million,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REPORTABLE SEGMENTS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reportable segments, which conduct their business primarily in the United States, are as follows:</w:t>
      </w:r>
    </w:p>
    <w:p>
      <w:pPr>
        <w:spacing w:after="0" w:line="117" w:lineRule="exact"/>
        <w:rPr>
          <w:rFonts w:ascii="Arial" w:cs="Arial" w:eastAsia="Arial" w:hAnsi="Arial"/>
          <w:sz w:val="18"/>
          <w:szCs w:val="18"/>
          <w:b w:val="1"/>
          <w:bCs w:val="1"/>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other.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revenues and expenses reflect the elimination of all material intercompany transactions.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Revenues from our intrastate transportation and storage segment are primarily reflected in natural gas sales and gathering, transportation and other fees. Revenues from our interstate transportation and storage segment are primarily reflected in gathering, transportation and other fees. Revenues from our midstream segment are primarily reflected in natural gas sales, NGL sales and gathering, transportation and other fees. Revenues from our NGL and refined products transportation and services segment are primarily reflected in NGL sales and gathering, transportation and other fees. Revenues from our crude oil transportation and services segment are primarily reflected in crude sales. Revenues from our investment in Sunoco LP segment are primarily reflected in refined product sales. Revenues from our investment in USAC segment are primarily reflected in gathering, transportation and other fees. Revenues from our all other segment are primarily reflected in natural gas sales and gathering, transportation and other fees.</w:t>
      </w:r>
    </w:p>
    <w:p>
      <w:pPr>
        <w:spacing w:after="0" w:line="138"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We report Segment Adjusted EBITDA and consolidated Adjusted EBITDA as measures of segment performance. We define Segment Adjusted EBITDA and consolidated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Inventory adjustments that are excluded from the calculation of Adjusted EBITDA represent only the changes in lower of cost or market reserves on inventory that is carried at LIFO. These amounts are unrealized valuation adjustments applied to Sunoco LP’s fuel volumes remaining in inventory at the end of the period.</w:t>
      </w:r>
    </w:p>
    <w:p>
      <w:pPr>
        <w:spacing w:after="0" w:line="12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Segment Adjusted EBITDA and consolidated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financial information by segment:</w:t>
      </w:r>
    </w:p>
    <w:p>
      <w:pPr>
        <w:spacing w:after="0" w:line="196" w:lineRule="exact"/>
        <w:rPr>
          <w:sz w:val="20"/>
          <w:szCs w:val="20"/>
          <w:color w:val="auto"/>
        </w:rPr>
      </w:pPr>
    </w:p>
    <w:p>
      <w:pPr>
        <w:jc w:val="center"/>
        <w:ind w:left="7840"/>
        <w:spacing w:after="0"/>
        <w:rPr>
          <w:sz w:val="20"/>
          <w:szCs w:val="20"/>
          <w:color w:val="auto"/>
        </w:rPr>
      </w:pPr>
      <w:r>
        <w:rPr>
          <w:rFonts w:ascii="Arial" w:cs="Arial" w:eastAsia="Arial" w:hAnsi="Arial"/>
          <w:sz w:val="18"/>
          <w:szCs w:val="18"/>
          <w:color w:val="auto"/>
        </w:rPr>
        <w:t>Three Months Ended</w:t>
      </w:r>
    </w:p>
    <w:p>
      <w:pPr>
        <w:jc w:val="center"/>
        <w:ind w:left="784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spacing w:after="0"/>
              <w:rPr>
                <w:sz w:val="19"/>
                <w:szCs w:val="19"/>
                <w:color w:val="auto"/>
              </w:rPr>
            </w:pPr>
          </w:p>
        </w:tc>
        <w:tc>
          <w:tcPr>
            <w:tcW w:w="46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0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Intrastate transportation and storage:</w:t>
            </w:r>
          </w:p>
        </w:tc>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0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0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Midstream:</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0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0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Crude oil transportation and services:</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Intersegment revenues</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4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0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Investment in USAC:</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0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30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Eliminations</w:t>
            </w:r>
          </w:p>
        </w:tc>
        <w:tc>
          <w:tcPr>
            <w:tcW w:w="30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2250"/>
              <w:spacing w:after="0"/>
              <w:rPr>
                <w:sz w:val="20"/>
                <w:szCs w:val="20"/>
                <w:color w:val="auto"/>
              </w:rPr>
            </w:pPr>
            <w:r>
              <w:rPr>
                <w:rFonts w:ascii="Arial" w:cs="Arial" w:eastAsia="Arial" w:hAnsi="Arial"/>
                <w:sz w:val="18"/>
                <w:szCs w:val="18"/>
                <w:color w:val="auto"/>
              </w:rPr>
              <w:t>31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3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Three Months Ended</w:t>
      </w:r>
    </w:p>
    <w:p>
      <w:pPr>
        <w:jc w:val="center"/>
        <w:ind w:left="800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spacing w:after="0"/>
              <w:rPr>
                <w:sz w:val="19"/>
                <w:szCs w:val="19"/>
                <w:color w:val="auto"/>
              </w:rPr>
            </w:pPr>
          </w:p>
        </w:tc>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3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740" w:type="dxa"/>
            <w:vAlign w:val="bottom"/>
            <w:vMerge w:val="continue"/>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3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3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EBITDA (consolidated)</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capitalized</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Impairment losses</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 interest rate derivatives</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Inventory valuation adjustments (Sunoco LP)</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extinguishments of debt</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(losses) of unconsolidated affiliates</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3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before income tax expense</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Segment assets:</w:t>
            </w:r>
          </w:p>
        </w:tc>
        <w:tc>
          <w:tcPr>
            <w:tcW w:w="3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740" w:type="dxa"/>
            <w:vAlign w:val="bottom"/>
            <w:vMerge w:val="continue"/>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Intrastate transportation and storage</w:t>
            </w:r>
          </w:p>
        </w:tc>
        <w:tc>
          <w:tcPr>
            <w:tcW w:w="3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Interstate transportation and storage</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Midstream</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NGL and refined products transportation and services</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Crude oil transportation and services</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Investment in Sunoco LP</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USAC</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All other</w:t>
            </w:r>
          </w:p>
        </w:tc>
        <w:tc>
          <w:tcPr>
            <w:tcW w:w="3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segment assets</w:t>
            </w:r>
          </w:p>
        </w:tc>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95,144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and unit amounts, except per unit data, are in millions)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is a discussion of our historical consolidated financial condition and results of operations, and should be read in conjunction with (i) our historical consolidated financial statements and accompanying notes thereto included elsewhere in this Quarterly Report on Form 10-Q; and (ii) the consolidated financial statements and management’s discussion and analysis of financial condition and results of operations included in the Partnership’s Annual Report on Form 10-K for the year ended December 31, 2020 filed with the SEC on February 19, 2021. This discussion includes forward-looking statements that are subject to risk and uncertainties. Actual results may differ substantially from the statements we make in this section due to a number of factors that are discussed in “Part I – Item 1A. Risk Factors” of our Annual Report on Form 10-K for the year ended December 31, 2020 filed with the SEC on February 19, 2021. Additional information on forward-looking statements is discussed below in “Forward-Looking Statements.”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requires otherwise, references to “we,” “us,” “our,” the “Partnership” and “ET” mean Energy Transfer LP and its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Winter Storm Impacts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Winter Storm Uri, which occurred in February 2021, resulted in one-time impacts to the Partnership’s consolidated net income and Adjusted EBITDA and also affected the results of operations in certain segments, as discussed in “Results of Operations” below. The recognition of the impacts of Winter Storm Uri during the three months ended March 31, 2021 required management to make certain estimates and assumptions, including estimates of expected credit losses and assumptions related to the resolution of disputes with counterparties with respect to certain purchases and sales of natural gas. The ultimate realization of credit losses and the resolution of disputed purchases and sales of natural gas could materially impact the Partnership’s financial condition and results of operations in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Enable Acquisition</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16, 2021, the Partnership entered into a definitive merger agreement to acquire Enable. Under the terms of the merger agreement, Enable’s common unitholders will receive 0.8595 of an ET common unit in exchange for each Enable common unit. In addition, each outstanding Enable preferred unit will be exchanged for 0.0265 of a Series G Preferred Unit, and ET will make a $10 million cash payment for Enable’s general partner. Pursuant to support agreements entered into in connection with the merger agreement, the two largest Enable unitholders have delivered their written consents to approve the merger. These unitholders collectively own 79% of Enable’s outstanding common units, and those consents are therefore sufficient to approve the merger. The transaction is subject to the satisfaction of customary closing conditions, including Hart-Scott-Rodino Act (“HSR”) clearance.</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anticipate that the Federal Trade Commission (“FTC”) will issue requests for additional information and documentary material, commonly known as “second requests,” which would extend the HSR waiting period until the 30th calendar day after the date that both parties substantially comply with the second requests. We continue to believe that the FTC will grant unconditional clearance of the transaction, and we remain fully committed to closing the Enable merger under the terms of the merger agreement. We expect to close the transaction in the second half of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Rollup Mergers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1, 2021, ET, ETO and certain of ETO’s subsidiaries consummated several internal reorganization transactions (the “Rollup Mergers”). In connection with the Rollup Mergers, Sunoco Logistics Operations and its general partner merged with and into ETO, with ETO surviving, and immediately thereafter, ETO merged with and into ET, with ET surviving. The impacts of the Rollup Mergers also included the following:</w:t>
      </w:r>
    </w:p>
    <w:p>
      <w:pPr>
        <w:spacing w:after="0" w:line="57" w:lineRule="exact"/>
        <w:rPr>
          <w:sz w:val="20"/>
          <w:szCs w:val="20"/>
          <w:color w:val="auto"/>
        </w:rPr>
      </w:pPr>
    </w:p>
    <w:p>
      <w:pPr>
        <w:ind w:left="34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ETO’s long-term debt was assumed by ET, as more fully described in Note 7 to the consolidated financial statements in “Item 1. Financial Statements.”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issued and outstanding ETO preferred unit was converted into the right to receive one newly created ET preferred unit. A description of the ET Preferred Units is included in Note 9 to the consolidated financial statements in “Item 1. Financial Statements.”</w:t>
      </w:r>
    </w:p>
    <w:p>
      <w:pPr>
        <w:spacing w:after="0" w:line="62"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of ETO’s issued and outstanding Class K, Class L, Class M and Class N units, all of which were held by ETP Holdco Corporation, a wholly-owned subsidiary of ETO, were converted into an aggregate 675,625,000 newly created Class B Units representing limited partner interests in ET.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Distribution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 April 2021, ET announced its quarterly distribution of $0.1525 per unit ($0.61 annualized) on ET common units for the quarter ended March 31,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Update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Natural Gas Transportation Regulation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Rate Regulation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cost-of-service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calculated using the discounted cash flow methodology. On July 18, 2018, the FERC issued an order denying requests for rehearing and clarification of its Revised Policy Statement. In the rehearing order,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 result in a double-recovery of investors' income tax costs. On July 31, 2020, the United States Court of Appeals for the District of Columbia Circuit issued an opinion upholding the FERC’s decision denying a separate master limited partnership recovery of an income tax allowance and its decision not to require the master limited partnership to refund accumulated deferred income tax balances. In light of the rehearing order’s clarification regarding an individual entity’s ability to argue in support of recovery of an income tax allowance and the court’s subsequent opinion upholding denial of an income tax allowance to a master limited partnership, the impact of the FERC's policy on the treatment of income taxes on the rates we can charge for FERC-regulated transportation services is unknown at this time.</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without application of the FERC’s recent rate making-related policy statements and rulemakings, the FERC or our shippers may challenge the cost-of-service rates we charge. The FERC’s establishment of a just and reasonable rate is based on many components, including ROE and tax-related components, although changes in these components may tend to decrease our cost-of-service rate, other components in the cost-of-service rate calculation may increase and result in a newly calculated cost-of-service rate that is less than, the same as, or greater than the prior cost-of-service rate. Moreover, we receive revenues from our pipelines based on a variety of rate structures, including cost-of-service rates, negotiated rates, discounted rates and market-based rates. Many of our interstate pipelines, such as ETC Tiger, Midcontinent Express and Fayetteville Express, have negotiated market rates that were agreed to by customers in connection with long-term contracts entered into to support the construction of the pipelines. Other systems, such as FGT, Transwestern and Panhandle, have a mix of tariff rate, discount rate, and negotiated rate agreements. The revenues we receive from natural gas transportation services we provide pursuant to cost-of-service based rates may decrease in the future as a result of the Revised Policy Statement, changes to ROE methodology, or other FERC policies, combined with the reduced corporate federal income tax rate established in the Tax Act. The extent of any revenue reduction related to our cost-of-service rates, if any, will depend on a detailed review of all of our cost-of-service components and the outcomes of any challenges to our rates by the FERC or our shippers.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18, 2018, the FERC issued a final rule establishing procedures to evaluate rates charged by the FERC-jurisdictional gas pipelines in light of the Tax Act and the FERC’s Revised Policy Statement. By order issued January 16, 2019, the FERC initiated a review of Panhandle’s existing rates pursuant to Section 5 of the NGA to determine whether the rates currently charged by Panhandle are just and reasonable and set the matter for hearing. Panhandle filed a cost and revenue study on April 1, 2019 and an NGA Section 4 rate case on August 30, 2019. The Section 4 and Section 5 proceedings were consolidated by order of the Chief Judge on October 1, 2019. A hearing in the combined proceedings commenced on August 25, 2020 and adjourned on September 15, 2020. The initial decision by the administrative law judge was issued on March 26, 2021. On April 26, 2021, Panhandle filed its brief on exceptions to the initial decision.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Pipeline Certification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FERC issued a Notice of Inquiry on April 19, 2018 (“Pipeline Certification NOI”), thereby initiating a review of its policies on certification of natural gas pipelines, including an examination of its long-standing Policy Statement on Certification of New Interstate Natural Gas Pipeline Facilities, issued in 1999, that is used to determine whether to grant certificates for new pipeline projects. We are unable to predict what, if any, changes may be proposed as a result of the Pipeline Certification NOI</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will affect our natural gas pipeline business or when such proposals, if any, might become effective. Comments in response to the Pipeline Certification NOI were due on or before July 25, 2018. We do not expect that any change in this policy would affect us in a materially different manner than any other natural gas pipeline company operating in the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Common Carrier Regulation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FERC utilizes an indexing rate methodology which, as currently in effect, allows common carriers to change their rates within prescribed ceiling levels that are tied to changes in the Producer Price Index for Finished Goods, or PPI-FG. Many existing pipelines utilize the FERC liquids index to change transportation rates annually. The indexing methodology is applicable to existing rates, with the exclusion of market-based rates. The FERC’s indexing methodology is subject to review every five years. In a December 2020 order, FERC determined that during the five-year period commencing July 1, 2021 and ending June 30, 2026, common carriers charging indexed rates will be permitted to adjust their indexed ceilings annually by PPI-FG plus 0.78 percent. Requests for rehearing of the December 2020 order were filed on January 19, 2021, and remain pending before FERC. Accordingly, the FERC’s final determination of the index rate coupled with the anticipated and subsequent appeals of the December 2020 order could adversely impact the final determination of the FERC approved index.</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FERC has also implemented changes related to its treatment of federal income taxes. The change in treatment impacts two rate components. Those components are the allowance for income taxes and the amount for accumulated deferred income taxes. These changes will primarily impact any cost-of-service related filing and our revenues associated with any cost-based service could be adversely affected by future FERC or judicial rulings. However, we believe that these impacts, if any, will be minimal.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report Segment Adjusted EBITDA and consolidated Adjusted EBITDA as measures of segment performance. We define Segment Adjusted EBITDA and consolidated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Inventory adjustments that are excluded from the calculation of Adjusted EBITDA represent only the changes in lower of cost or market reserves on inventory that is carried at LIFO. These amounts are unrealized valuation adjustments applied to Sunoco LP’s fuel volumes remaining in inventory at the end of the period.</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Segment Adjusted EBITDA and consolidated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Adjusted EBITDA, as reported for each segment in the table below, is analyzed for each segment in the section titled “Segment Operating Results.” Adjusted EBITDA is a non-GAAP measure used by industry analysts, investors, lenders and rating agencies to assess the financial performance and the operating results of the Partnership’s fundamental business activities and should not be considered in isolation or as a substitution for net income, income from operations, cash flows from operating activities or other GAAP measures.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74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0"/>
        </w:trPr>
        <w:tc>
          <w:tcPr>
            <w:tcW w:w="7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Intrastate transportation and storage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29"/>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Interstate transportation and storage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Midstream</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NGL and refined products transportation and services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Crude oil transportation and services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Investment in Sunoco LP</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 in USAC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Adjusted EBITDA (consolidated)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capitalized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Impairment losses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interest rate derivatives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Non-cash compensation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Inventory valuation adjustments (Sunoco LP)</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Losses on extinguishments of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in earnings (losses) of unconsolidated affiliates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(loss) before income tax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Adjusted EBITDA (consolidated). </w:t>
      </w:r>
      <w:r>
        <w:rPr>
          <w:rFonts w:ascii="Arial" w:cs="Arial" w:eastAsia="Arial" w:hAnsi="Arial"/>
          <w:sz w:val="17"/>
          <w:szCs w:val="17"/>
          <w:color w:val="auto"/>
        </w:rPr>
        <w:t>For the three months ended March 31, 2021 compared to the same period last year, Adjusted EBITDA increased 91%,</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the impacts of Winter Storm Uri in February 2021. The most significant impacts from the storm were recognized in our intrastate transportation and storage segment, where realized storage margin increased by $1.52 billion compared to the prior period as a result of withdrawals during the storm, realized natural gas sales increased $983 million primarily due to sales during the storm, and retained fuel revenues increased $84 million primarily due to unprecedented natural gas prices during the storm. Additional information on changes impacting Adjusted EBITDA, including other impacts from Winter Storm Uri and other non-storm-related factors, is available below in “Segment Operating Results.”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Depreciation, depletion and amortization increased for the three months ended March 31,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last year primarily due to the incremental depreciation related to assets recently placed in service.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of interest capitalized decreased for the three months ended March 31, 2021 compared to the same periods last</w:t>
      </w:r>
      <w:r>
        <w:rPr>
          <w:rFonts w:ascii="Arial" w:cs="Arial" w:eastAsia="Arial" w:hAnsi="Arial"/>
          <w:sz w:val="18"/>
          <w:szCs w:val="18"/>
          <w:i w:val="1"/>
          <w:iCs w:val="1"/>
          <w:color w:val="auto"/>
        </w:rPr>
        <w:t xml:space="preserve"> </w:t>
      </w:r>
      <w:r>
        <w:rPr>
          <w:rFonts w:ascii="Arial" w:cs="Arial" w:eastAsia="Arial" w:hAnsi="Arial"/>
          <w:sz w:val="18"/>
          <w:szCs w:val="18"/>
          <w:color w:val="auto"/>
        </w:rPr>
        <w:t>year primarily due to the following:</w:t>
      </w:r>
    </w:p>
    <w:p>
      <w:pPr>
        <w:spacing w:after="0" w:line="62" w:lineRule="exact"/>
        <w:rPr>
          <w:sz w:val="20"/>
          <w:szCs w:val="20"/>
          <w:color w:val="auto"/>
        </w:rPr>
      </w:pPr>
    </w:p>
    <w:p>
      <w:pPr>
        <w:ind w:left="34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of $10 million for the Partnership primarily due to lower average debt balance and borrowing costs on recently refinanced and floating rate debt, partially offset by lower interest capitalized; and</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of $3 million for Sunoco LP primarily attributable to a slight decrease in average total long-term debt and decrease in the weighted average interest rate on long-term debt for the respective periods.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Impairment Losses. </w:t>
      </w:r>
      <w:r>
        <w:rPr>
          <w:rFonts w:ascii="Arial" w:cs="Arial" w:eastAsia="Arial" w:hAnsi="Arial"/>
          <w:sz w:val="18"/>
          <w:szCs w:val="18"/>
          <w:color w:val="auto"/>
        </w:rPr>
        <w:t>During the three months ended March 31, 2021, USAC recognized an impairment of $3 million related to its compression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its evaluations of the future deployment of its idle fleet under current market conditions. During the three months ended March 31, 2020, the Partnership performed an interim impairment test on certain reporting units within its midstream, interstate, crude, NGL and all other operations. As a result of the interim impairment test, the Partnership recognized goodwill impairments totaling of $706 million due to decreases in projected future cash flows as a</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result of overall market demand decline. In addition, USAC recognized a goodwill impairment of $619 million based on changes in market condition.</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Gains (Losses) on Interest Rate Derivatives. </w:t>
      </w:r>
      <w:r>
        <w:rPr>
          <w:rFonts w:ascii="Arial" w:cs="Arial" w:eastAsia="Arial" w:hAnsi="Arial"/>
          <w:sz w:val="18"/>
          <w:szCs w:val="18"/>
          <w:color w:val="auto"/>
        </w:rPr>
        <w:t>Gains and losses on interest rate derivatives during the three months ended March 31, 2021 resulted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forward interest rates, which caused our forward-starting swaps to change in value.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Unrealized Gains (Losses) on Commodity Risk Management Activities. </w:t>
      </w:r>
      <w:r>
        <w:rPr>
          <w:rFonts w:ascii="Arial" w:cs="Arial" w:eastAsia="Arial" w:hAnsi="Arial"/>
          <w:sz w:val="18"/>
          <w:szCs w:val="18"/>
          <w:color w:val="auto"/>
        </w:rPr>
        <w:t>See additional information on the unrealized gains (losses) on commodity risk</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activities included in “Segment Operating Results” below.</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Losses on Extinguishments of Debt. </w:t>
      </w:r>
      <w:r>
        <w:rPr>
          <w:rFonts w:ascii="Arial" w:cs="Arial" w:eastAsia="Arial" w:hAnsi="Arial"/>
          <w:sz w:val="18"/>
          <w:szCs w:val="18"/>
          <w:color w:val="auto"/>
        </w:rPr>
        <w:t>During the three months ended March 31, 2021, amounts were related to Sunoco LP’s January 2021 repurchase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remainder of its 2023 senior notes. During the three months ended March 31, 2020, amounts were related to ETO’s senior notes redemption in January 2020.</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Inventory Valuation Adjustments. </w:t>
      </w:r>
      <w:r>
        <w:rPr>
          <w:rFonts w:ascii="Arial" w:cs="Arial" w:eastAsia="Arial" w:hAnsi="Arial"/>
          <w:sz w:val="16"/>
          <w:szCs w:val="16"/>
          <w:color w:val="auto"/>
        </w:rPr>
        <w:t>Inventory valuation adjustments represent changes in lower of cost or market using the last-in, first-out method on</w:t>
      </w:r>
      <w:r>
        <w:rPr>
          <w:rFonts w:ascii="Arial" w:cs="Arial" w:eastAsia="Arial" w:hAnsi="Arial"/>
          <w:sz w:val="16"/>
          <w:szCs w:val="16"/>
          <w:i w:val="1"/>
          <w:iCs w:val="1"/>
          <w:color w:val="auto"/>
        </w:rPr>
        <w:t xml:space="preserve"> </w:t>
      </w:r>
      <w:r>
        <w:rPr>
          <w:rFonts w:ascii="Arial" w:cs="Arial" w:eastAsia="Arial" w:hAnsi="Arial"/>
          <w:sz w:val="16"/>
          <w:szCs w:val="16"/>
          <w:color w:val="auto"/>
        </w:rPr>
        <w:t>Sunoco LP’s inventory. These amounts are unrealized valuation adjustments applied to fuel volumes remaining in inventory at the end of the period. For the three months ended March 31, 2021, an increase in fuel prices reduced lower of cost or market reserve requirements for the period by $100 million. For the three months ended March 31, 2020, a decline in fuel prices increased lower of cost or market reserve requirements for the period by $227 million.</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Adjusted EBITDA Related to Unconsolidated Affiliates and Equity in Earnings of Unconsolidated Affiliates. </w:t>
      </w:r>
      <w:r>
        <w:rPr>
          <w:rFonts w:ascii="Arial" w:cs="Arial" w:eastAsia="Arial" w:hAnsi="Arial"/>
          <w:sz w:val="18"/>
          <w:szCs w:val="18"/>
          <w:color w:val="auto"/>
        </w:rPr>
        <w:t>See additional information in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Unconsolidated Affiliates” and “Segment Operating Results”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net primarily includes the amortization of regulatory assets and other income and expense amounts.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three months ended March 31, 2021 compared to the same period in the prior year, income tax expense increased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earnings from the Partnership’s consolidated corporate subsidiaries in the current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74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Supplemental Information on Unconsolidated Affiliates</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20" w:type="dxa"/>
            <w:vAlign w:val="bottom"/>
            <w:gridSpan w:val="2"/>
          </w:tcPr>
          <w:p>
            <w:pPr>
              <w:spacing w:after="0"/>
              <w:rPr>
                <w:sz w:val="20"/>
                <w:szCs w:val="20"/>
                <w:color w:val="auto"/>
              </w:rPr>
            </w:pPr>
            <w:r>
              <w:rPr>
                <w:rFonts w:ascii="Arial" w:cs="Arial" w:eastAsia="Arial" w:hAnsi="Arial"/>
                <w:sz w:val="18"/>
                <w:szCs w:val="18"/>
                <w:color w:val="auto"/>
              </w:rPr>
              <w:t>The following table presents financial information related to unconsolidated affiliates:</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16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w w:val="97"/>
              </w:rPr>
              <w:t>March 31,</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Equity in earnings (losses) of unconsolidated affiliates: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18"/>
                <w:szCs w:val="18"/>
                <w:color w:val="auto"/>
              </w:rPr>
              <w:t>2020</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9"/>
        </w:trPr>
        <w:tc>
          <w:tcPr>
            <w:tcW w:w="74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FEP</w:t>
            </w:r>
          </w:p>
        </w:tc>
        <w:tc>
          <w:tcPr>
            <w:tcW w:w="8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White Cliffs</w:t>
            </w:r>
          </w:p>
        </w:tc>
        <w:tc>
          <w:tcPr>
            <w:tcW w:w="8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Total equity in earnings (losses) of unconsolidated affiliates</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Adjusted EBITDA related to unconsolidated affiliates</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4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FEP</w:t>
            </w:r>
          </w:p>
        </w:tc>
        <w:tc>
          <w:tcPr>
            <w:tcW w:w="8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White Cliffs</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Total Adjusted EBITDA related to unconsolidated affiliates</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123</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Distributions received from unconsolidated affiliates:</w:t>
            </w: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4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FEP</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White Cliffs</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Total distributions received from unconsolidated affiliates</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20" w:hanging="332"/>
        <w:spacing w:after="0" w:line="227" w:lineRule="auto"/>
        <w:tabs>
          <w:tab w:leader="none" w:pos="32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2020, equity in earnings (losses) of unconsolidated affiliates includes the impact of non-cash impairments recorded by FEP, which reduced the Partnership’s equity in earnings by $85 million.</w:t>
      </w:r>
    </w:p>
    <w:p>
      <w:pPr>
        <w:spacing w:after="0" w:line="94" w:lineRule="exact"/>
        <w:rPr>
          <w:rFonts w:ascii="Arial" w:cs="Arial" w:eastAsia="Arial" w:hAnsi="Arial"/>
          <w:sz w:val="23"/>
          <w:szCs w:val="23"/>
          <w:color w:val="auto"/>
          <w:vertAlign w:val="superscript"/>
        </w:rPr>
      </w:pPr>
    </w:p>
    <w:p>
      <w:pPr>
        <w:jc w:val="both"/>
        <w:ind w:left="340" w:hanging="332"/>
        <w:spacing w:after="0" w:line="234" w:lineRule="auto"/>
        <w:tabs>
          <w:tab w:leader="none" w:pos="32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segment performance based on Segment Adjusted EBITDA, which we believe is an important performance measure of the core profitability of our operations. This measure represents the basis of our internal financial reporting and is one of the performance measures used by senior management in deciding how to allocate capital resources among business segments.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identify the components of Segment Adjusted EBITDA, which is calculated as follows:</w:t>
      </w:r>
    </w:p>
    <w:p>
      <w:pPr>
        <w:spacing w:after="0" w:line="117" w:lineRule="exact"/>
        <w:rPr>
          <w:sz w:val="20"/>
          <w:szCs w:val="20"/>
          <w:color w:val="auto"/>
        </w:rPr>
      </w:pPr>
    </w:p>
    <w:p>
      <w:pPr>
        <w:ind w:left="340" w:right="2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Segment margin, operating expenses, </w:t>
      </w:r>
      <w:r>
        <w:rPr>
          <w:rFonts w:ascii="Arial" w:cs="Arial" w:eastAsia="Arial" w:hAnsi="Arial"/>
          <w:sz w:val="18"/>
          <w:szCs w:val="18"/>
          <w:color w:val="auto"/>
        </w:rPr>
        <w:t>and</w:t>
      </w:r>
      <w:r>
        <w:rPr>
          <w:rFonts w:ascii="Arial" w:cs="Arial" w:eastAsia="Arial" w:hAnsi="Arial"/>
          <w:sz w:val="18"/>
          <w:szCs w:val="18"/>
          <w:i w:val="1"/>
          <w:iCs w:val="1"/>
          <w:color w:val="auto"/>
        </w:rPr>
        <w:t xml:space="preserve"> selling, general and administrative expenses</w:t>
      </w:r>
      <w:r>
        <w:rPr>
          <w:rFonts w:ascii="Arial" w:cs="Arial" w:eastAsia="Arial" w:hAnsi="Arial"/>
          <w:sz w:val="18"/>
          <w:szCs w:val="18"/>
          <w:color w:val="auto"/>
        </w:rPr>
        <w:t>. These amounts represent the amounts 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that are attributable to each segment.</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Unrealized gains or losses on commodity risk management activities and inventory valuation adjustments</w:t>
      </w:r>
      <w:r>
        <w:rPr>
          <w:rFonts w:ascii="Arial" w:cs="Arial" w:eastAsia="Arial" w:hAnsi="Arial"/>
          <w:sz w:val="18"/>
          <w:szCs w:val="18"/>
          <w:color w:val="auto"/>
        </w:rPr>
        <w:t>. These are the unrealized amounts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cost of products sold to calculate segment margin. These amounts are not included in Segment Adjusted EBITDA; therefore, the unrealized losses are added back and the unrealized gains are subtracted to calculate the segment measure.</w:t>
      </w:r>
    </w:p>
    <w:p>
      <w:pPr>
        <w:spacing w:after="0" w:line="75"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Non-cash compensation expense</w:t>
      </w:r>
      <w:r>
        <w:rPr>
          <w:rFonts w:ascii="Arial" w:cs="Arial" w:eastAsia="Arial" w:hAnsi="Arial"/>
          <w:sz w:val="16"/>
          <w:szCs w:val="16"/>
          <w:color w:val="auto"/>
        </w:rPr>
        <w:t>. These amounts represent the total non-cash compensation recorded in operating expenses and selling,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This expense is not included in Segment Adjusted EBITDA and therefore is added back to calculate the segment measure.</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40" w:hanging="332"/>
        <w:spacing w:after="0" w:line="275" w:lineRule="auto"/>
        <w:tabs>
          <w:tab w:leader="none" w:pos="335"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Adjusted EBITDA related to unconsolidated affiliates</w:t>
      </w:r>
      <w:r>
        <w:rPr>
          <w:rFonts w:ascii="Arial" w:cs="Arial" w:eastAsia="Arial" w:hAnsi="Arial"/>
          <w:sz w:val="17"/>
          <w:szCs w:val="17"/>
          <w:color w:val="auto"/>
        </w:rPr>
        <w:t>. Adjusted EBITDA related to unconsolidated affiliates excludes the same items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unconsolidated affiliate as those excluded from the calculation of Segment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following analysis of segment operating results, a measure of segment margin is reported for segments with sales revenues.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for certain segments, the sections below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Winter Storm Uri, which occurred in February 2021, resulted in one-time impacts to the Partnership’s Adjusted EBITDA and also affected the results of operations in certain segments, as discussed in segment analysis below. The recognition of the impacts of Winter Storm Uri during the three months ended March 31, 2021 required management to make certain estimates and assumptions, including estimates of expected credit losses and assumptions related to the resolution of disputes with counterparties with respect to certain purchases and sales of natural gas. The ultimate realization of credit losses and the resolution of disputed purchases and sales of natural gas could materially impact the Partnership’s financial condition and results of operations in future periods.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i w:val="1"/>
                <w:iCs w:val="1"/>
                <w:color w:val="auto"/>
              </w:rPr>
              <w:t>Intrastate Transportation and Storage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7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7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Withdrawals from storage natural gas inventory (BBtu)</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12,070</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r>
      <w:tr>
        <w:trPr>
          <w:trHeight w:val="223"/>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Volumes</w:t>
      </w:r>
      <w:r>
        <w:rPr>
          <w:rFonts w:ascii="Arial" w:cs="Arial" w:eastAsia="Arial" w:hAnsi="Arial"/>
          <w:sz w:val="18"/>
          <w:szCs w:val="18"/>
          <w:color w:val="auto"/>
        </w:rPr>
        <w:t>. For the three months ended March 31, 2021 compared to the same period last year, transported volumes decreased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 filing of a transportation customer, a contract step-down, and impacts of Winter Storm Uri.</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Segment Margin. </w:t>
      </w:r>
      <w:r>
        <w:rPr>
          <w:rFonts w:ascii="Arial" w:cs="Arial" w:eastAsia="Arial" w:hAnsi="Arial"/>
          <w:sz w:val="18"/>
          <w:szCs w:val="18"/>
          <w:color w:val="auto"/>
        </w:rPr>
        <w:t>The components of our intrastate transportation and storage segment margin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7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March 31,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fees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Natural gas sales and other (excluding unrealized gains and losses)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983</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fuel revenues (excluding unrealized gains and losses)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Storage margin (excluding unrealized gains and losses and fair value inventory adjustments)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1,524</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Unrealized gains on commodity risk management activities and fair value inventory adjustments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420" w:type="dxa"/>
            <w:vAlign w:val="bottom"/>
          </w:tcPr>
          <w:p>
            <w:pPr>
              <w:ind w:left="180"/>
              <w:spacing w:after="0"/>
              <w:rPr>
                <w:sz w:val="20"/>
                <w:szCs w:val="20"/>
                <w:color w:val="auto"/>
              </w:rPr>
            </w:pPr>
            <w:r>
              <w:rPr>
                <w:rFonts w:ascii="Arial" w:cs="Arial" w:eastAsia="Arial" w:hAnsi="Arial"/>
                <w:sz w:val="18"/>
                <w:szCs w:val="18"/>
                <w:color w:val="auto"/>
              </w:rPr>
              <w:t>Total segment margin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w:t>
            </w:r>
          </w:p>
        </w:tc>
      </w:tr>
      <w:tr>
        <w:trPr>
          <w:trHeight w:val="21"/>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March 31, 2021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intrastate transportation segment increased due to the net effects of the following:</w:t>
      </w:r>
    </w:p>
    <w:p>
      <w:pPr>
        <w:spacing w:after="0" w:line="62"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$1.52 billion in realized storage margin due to higher physical storage margin from withdrawals during Winter Storm Uri;</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$983 million in realized natural gas sales and other primarily due to natural gas sales at prevailing market prices during Winter Storm Uri;</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$84 million in retained fuel revenues primarily due to natural gas prices during Winter Storm Uri; and</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$19 million in transportation fees due to demand volume ramp-ups from the Permian and fees related to Winter Storm Uri, partially offset by the expiration of certain contracts on our Regency Intrastate Gas System; partially offset by</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$39 million in operating expenses primarily due to a $29 million increase in the cost of fuel consumption during Winter Storm Uri and a $9 million increase in electricity costs.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i w:val="1"/>
                <w:iCs w:val="1"/>
                <w:color w:val="auto"/>
              </w:rPr>
              <w:t>Interstate Transportation and Storage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Natural gas sold (BBtu/d)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w w:val="98"/>
              </w:rPr>
              <w:t>Operating expenses, excluding non-cash compensation, amortization and accretion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5"/>
        </w:trPr>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Selling, general and administrative expenses, excluding non-cash compensation, amortization and</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expenses</w:t>
            </w: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2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three months ended March 31, 2021 compared to the same period last year, transported volumes decreased primarily due to foundation</w:t>
      </w:r>
      <w:r>
        <w:rPr>
          <w:rFonts w:ascii="Arial" w:cs="Arial" w:eastAsia="Arial" w:hAnsi="Arial"/>
          <w:sz w:val="18"/>
          <w:szCs w:val="18"/>
          <w:i w:val="1"/>
          <w:iCs w:val="1"/>
          <w:color w:val="auto"/>
        </w:rPr>
        <w:t xml:space="preserve"> </w:t>
      </w:r>
      <w:r>
        <w:rPr>
          <w:rFonts w:ascii="Arial" w:cs="Arial" w:eastAsia="Arial" w:hAnsi="Arial"/>
          <w:sz w:val="18"/>
          <w:szCs w:val="18"/>
          <w:color w:val="auto"/>
        </w:rPr>
        <w:t>shipper contract expirations and a shipper bankruptcy on our ETC Tiger system, maintenance of third-party facilities, and lower crude production resulting in lower associated gas production.</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March 31, 2021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interstate transportation and storage segment increased due to the net impacts of the following:</w:t>
      </w:r>
    </w:p>
    <w:p>
      <w:pPr>
        <w:spacing w:after="0" w:line="62" w:lineRule="exact"/>
        <w:rPr>
          <w:sz w:val="20"/>
          <w:szCs w:val="20"/>
          <w:color w:val="auto"/>
        </w:rPr>
      </w:pPr>
    </w:p>
    <w:p>
      <w:pPr>
        <w:jc w:val="both"/>
        <w:ind w:left="340" w:hanging="332"/>
        <w:spacing w:after="0" w:line="263"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$61 million in revenues primarily due to an $88 million increase in operational gas sales and a $6 million increase in reservation revenues from higher contracted volumes and increased short-term firm contracts. These increases were partially offset by a $31 million decrease due to contract expirations and a shipper bankruptcy during 2020 on our ETC Tiger system;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 of $9 million in operating expenses primarily due to a $5 million decrease in employee costs, a $2 million decrease in maintenance expenses and a $2 million decrease in ad valorem tax expense; partially offset by</w:t>
      </w:r>
    </w:p>
    <w:p>
      <w:pPr>
        <w:spacing w:after="0" w:line="62"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 of $21 million in Adjusted EBITDA related to unconsolidated affiliates primarily due to a $19 million decrease from our Fayetteville Express Pipeline joint venture as a result of the expiration of foundation shipper contracts and a $3 million decrease from our Midcontinent Express Pipeline joint venture as a result of less capacity sold and lower rates received following the expiration of foundation shipper contracts, partially offset by a $1 million increase from our Citrus joint venture resulting from higher revenues.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i w:val="1"/>
                <w:iCs w:val="1"/>
                <w:color w:val="auto"/>
              </w:rPr>
              <w:t>Midstream</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5"/>
        </w:trPr>
        <w:tc>
          <w:tcPr>
            <w:tcW w:w="7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7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Gathered volumes (BBtu/d)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NGLs produced (MBbls/d)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NGLs (MBbls/d)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1,502</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23"/>
        </w:trPr>
        <w:tc>
          <w:tcPr>
            <w:tcW w:w="742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2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1"/>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Gathered volumes and NGL production decreased during the three months ended March 31, 2021 compared to the same period last year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basin declines and Winter Storm Uri in the South Texas, Mid-Continent/Panhandle, Permian and North Texas regions partially offset by volume growth in the Ark-La-Tex region.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midstream segment gross margin were as follows:</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7420" w:type="dxa"/>
            <w:vAlign w:val="bottom"/>
          </w:tcPr>
          <w:p>
            <w:pPr>
              <w:spacing w:after="0"/>
              <w:rPr>
                <w:sz w:val="24"/>
                <w:szCs w:val="24"/>
                <w:color w:val="auto"/>
              </w:rPr>
            </w:pPr>
          </w:p>
        </w:tc>
        <w:tc>
          <w:tcPr>
            <w:tcW w:w="2120" w:type="dxa"/>
            <w:vAlign w:val="bottom"/>
            <w:gridSpan w:val="4"/>
          </w:tcPr>
          <w:p>
            <w:pPr>
              <w:jc w:val="center"/>
              <w:ind w:left="310"/>
              <w:spacing w:after="0"/>
              <w:rPr>
                <w:sz w:val="20"/>
                <w:szCs w:val="20"/>
                <w:color w:val="auto"/>
              </w:rPr>
            </w:pPr>
            <w:r>
              <w:rPr>
                <w:rFonts w:ascii="Arial" w:cs="Arial" w:eastAsia="Arial" w:hAnsi="Arial"/>
                <w:sz w:val="18"/>
                <w:szCs w:val="18"/>
                <w:color w:val="auto"/>
                <w:w w:val="90"/>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74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color w:val="auto"/>
                <w:w w:val="92"/>
              </w:rPr>
              <w:t>March 31,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and processing fee-based revenues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Non-fee-based contracts and processing</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3"/>
              </w:rPr>
              <w:t>(28)</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8"/>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segment margin</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March 31, 2021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midstream segment decreased due to the net impacts of the following:</w:t>
      </w:r>
    </w:p>
    <w:p>
      <w:pPr>
        <w:spacing w:after="0" w:line="62"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of $145 million in non-fee-based margin due to the impacts of Winter Storm Uri; and</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of $32 million in fee-based margin due to lower volumes primarily in the South Texas Region as a result of basin declines and Winter Storm Uri; partially offset by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$52 million in non-fee-based margin due to favorable natural gas prices of $26 million and NGL prices of $26 million;</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of $29 million in operating expenses due to cost-saving initiatives, including a decrease of $19 million in outside services, $7 million in materials and $3 million in ad valorem taxes;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decrease of $1 million in selling, general and administrative expenses due to a decrease in overhead costs resulting from corporate cost reductions.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74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952"/>
        </w:trPr>
        <w:tc>
          <w:tcPr>
            <w:tcW w:w="7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4"/>
        </w:trPr>
        <w:tc>
          <w:tcPr>
            <w:tcW w:w="12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12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NGL transportation volumes (MBbls/d)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Refined products transportation volumes (MBbls/d)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NGL and refined products terminal volumes (MBbls/d)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NGL fractionation volumes (MBbls/d)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
        </w:trPr>
        <w:tc>
          <w:tcPr>
            <w:tcW w:w="12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three months ended March 31, 2021 compared to the same period last year, NGL transportation volumes increased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initiation of service on our propane and ethane export pipelines into our Nederland Terminal.</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Refined products transportation volumes decreased for the three months ended March 31, 2021 compared to the same periods last year due to less domestic demand for jet fuel and other refined products, as well as COVID-19 related demand reductions.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NGL and refined products terminal volumes increased for the three months ended March 31, 2021 compared to the same periods last year primarily due to higher volumes from our Mariner East system. In addition, loaded vessels at our Nederland Terminal increased due to the additional supply from the initiation of service on our propane and ethane export pipelines in the fourth quarter of 2020. These increases were partially offset by lower domestic demand for jet fuel and other refined products at our refined product terminals due primarily to COVID-19 related demand reductions.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fractionated volumes at our Mont Belvieu, Texas fractionation facility decreased for the three months ended March 31, 2021 compared to the same period last year primarily due to lower NGL volumes feeding our Mont Belvieu fractionation facility as a result of production interruptions, primarily in the Permian region, due to Winter Storm Uri during the first quarter of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Segment Margin. </w:t>
      </w:r>
      <w:r>
        <w:rPr>
          <w:rFonts w:ascii="Arial" w:cs="Arial" w:eastAsia="Arial" w:hAnsi="Arial"/>
          <w:sz w:val="18"/>
          <w:szCs w:val="18"/>
          <w:color w:val="auto"/>
        </w:rPr>
        <w:t>The components of our NGL and refined products transportation and services segment margin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8"/>
                <w:szCs w:val="18"/>
                <w:color w:val="auto"/>
              </w:rPr>
            </w:pPr>
          </w:p>
        </w:tc>
        <w:tc>
          <w:tcPr>
            <w:tcW w:w="212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74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97"/>
              </w:rPr>
              <w:t>March 31,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margin</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Fractionators and refinery services margin</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145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Terminal services margin</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Storage margin</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margin</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segment margin</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Segment Adjusted EBITDA. </w:t>
      </w:r>
      <w:r>
        <w:rPr>
          <w:rFonts w:ascii="Arial" w:cs="Arial" w:eastAsia="Arial" w:hAnsi="Arial"/>
          <w:sz w:val="16"/>
          <w:szCs w:val="16"/>
          <w:color w:val="auto"/>
        </w:rPr>
        <w:t>For the three months ended March 31, 2021 compared to the same period last year, Segment Adjusted EBITDA related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NGL and refined products transportation and services segment decreased due to the net impacts of the following:</w:t>
      </w:r>
    </w:p>
    <w:p>
      <w:pPr>
        <w:spacing w:after="0" w:line="103" w:lineRule="exact"/>
        <w:rPr>
          <w:sz w:val="20"/>
          <w:szCs w:val="20"/>
          <w:color w:val="auto"/>
        </w:rPr>
      </w:pPr>
    </w:p>
    <w:p>
      <w:pPr>
        <w:jc w:val="both"/>
        <w:ind w:left="340" w:hanging="332"/>
        <w:spacing w:after="0" w:line="263"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 of $34 million in fractionators and refinery services margin primarily due to a $28 million decrease resulting from downtime on our various fractionators due to the previously mentioned weather-driven and COVID-19 related volume reductions in the first quarter of 2021 and a $17 million decrease relating to a cavern withdrawal in the first quarter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of 2021, the impact of which was partially offset in our transportation margin. These decreases were partially offset by an $8 million increase due to a more favorable pricing environment impacting our refinery services business;</w:t>
      </w:r>
    </w:p>
    <w:p>
      <w:pPr>
        <w:spacing w:after="0" w:line="62"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$13 million in operating expenses primarily due to a $14 million increase in power costs; and</w:t>
      </w:r>
    </w:p>
    <w:p>
      <w:pPr>
        <w:spacing w:after="0" w:line="117" w:lineRule="exact"/>
        <w:rPr>
          <w:rFonts w:ascii="Arial" w:cs="Arial" w:eastAsia="Arial" w:hAnsi="Arial"/>
          <w:sz w:val="18"/>
          <w:szCs w:val="18"/>
          <w:color w:val="auto"/>
        </w:rPr>
      </w:pPr>
    </w:p>
    <w:p>
      <w:pPr>
        <w:jc w:val="both"/>
        <w:ind w:left="340" w:hanging="332"/>
        <w:spacing w:after="0" w:line="279" w:lineRule="auto"/>
        <w:tabs>
          <w:tab w:leader="none" w:pos="3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decrease of $10 million in terminal services margin primarily due to a $32 million decrease resulting from an expiration of a third-party contract at our Nederland Terminal in the second quarter of 2020. This decrease was partially offset by increases of $13 million in loading fees due to higher LPG export volumes at our Nederland Terminal, $7 million due to the startup of our ethane export facilities at our Nederland Terminal in the first quarter of 2021, and $1 million due to higher throughput at our Marcus Hook Terminal; partially offset by</w:t>
      </w:r>
    </w:p>
    <w:p>
      <w:pPr>
        <w:spacing w:after="0" w:line="63" w:lineRule="exact"/>
        <w:rPr>
          <w:rFonts w:ascii="Arial" w:cs="Arial" w:eastAsia="Arial" w:hAnsi="Arial"/>
          <w:sz w:val="17"/>
          <w:szCs w:val="17"/>
          <w:color w:val="auto"/>
        </w:rPr>
      </w:pPr>
    </w:p>
    <w:p>
      <w:pPr>
        <w:jc w:val="both"/>
        <w:ind w:left="340" w:hanging="332"/>
        <w:spacing w:after="0" w:line="296" w:lineRule="auto"/>
        <w:tabs>
          <w:tab w:leader="none" w:pos="3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increase of $26 million in marketing margin primarily due to a $45 million increase resulting from higher optimization gains and from the sale of NGL component products at our Mont Belvieu facility, a $14 million increase from our optimization and blending operations from our northeast NGL and refined products marketing operations, and a $7 million increase due to inventory write-downs taken on various products during 2020 as a result of market price declines. These increases were partially offset by intrasegment charges of $24 million in the first quarter of 2021 which were fully offset within our transportation margin, as well as a $15 million decrease in butane blending margin due to less favorable prices; and</w:t>
      </w:r>
    </w:p>
    <w:p>
      <w:pPr>
        <w:spacing w:after="0" w:line="53" w:lineRule="exact"/>
        <w:rPr>
          <w:rFonts w:ascii="Arial" w:cs="Arial" w:eastAsia="Arial" w:hAnsi="Arial"/>
          <w:sz w:val="16"/>
          <w:szCs w:val="16"/>
          <w:color w:val="auto"/>
        </w:rPr>
      </w:pPr>
    </w:p>
    <w:p>
      <w:pPr>
        <w:jc w:val="both"/>
        <w:ind w:left="340" w:hanging="332"/>
        <w:spacing w:after="0" w:line="255"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$16 million in transportation margin primarily due to intrasegment revenues of $24 million in the first quarter of 2021, which are fully offset by a charge reflected in our marketing margin, a $20 million increase due to higher export volumes feeding into our Nederland Terminal resulting from the initiation of service on our propane and ethane export pipelines in the fourth quarter of 2020, a $19 million increase from higher throughput on our Mariner East pipeline system and an $11 million gain relating to a cavern withdrawal in the first quarter of 2021 that is partially offset on our fractionators margin. These increases were partially offset by a $58 million decrease resulting from lower throughput across the various regions in Texas due to Winter Storm Uri related production outages.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i w:val="1"/>
                <w:iCs w:val="1"/>
                <w:color w:val="auto"/>
              </w:rPr>
              <w:t>Crude Oil Transportation and Services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5"/>
        </w:trPr>
        <w:tc>
          <w:tcPr>
            <w:tcW w:w="7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7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transportation volumes (MBbls/d)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Crude terminals volumes (MBbls/d)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r>
      <w:tr>
        <w:trPr>
          <w:trHeight w:val="223"/>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42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three months ended March 31, 2021 compared to the same period last year, crude transportation volumes were lower on our Texas</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system and Bakken pipeline, driven by COVID-19 related demand reductions impacting both regions, as well as lower crude oil production along our Texas systems due to Winter Storm Uri during the first quarter of 2021. These volume reductions also resulted in lower terminal volumes compared to the prior period.</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March 31, 2021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transportation and services segment decreased due to the net impacts of the following:</w:t>
      </w:r>
    </w:p>
    <w:p>
      <w:pPr>
        <w:spacing w:after="0" w:line="62" w:lineRule="exact"/>
        <w:rPr>
          <w:sz w:val="20"/>
          <w:szCs w:val="20"/>
          <w:color w:val="auto"/>
        </w:rPr>
      </w:pPr>
    </w:p>
    <w:p>
      <w:pPr>
        <w:jc w:val="both"/>
        <w:ind w:left="340" w:hanging="332"/>
        <w:spacing w:after="0" w:line="273" w:lineRule="auto"/>
        <w:tabs>
          <w:tab w:leader="none" w:pos="3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decrease of $108 million in segment margin (excluding unrealized gains and losses on commodity risk management activities) primarily due to a $111 million decrease from our Texas crude pipeline system due to lower volumes transported and lower average tariff rates realized, a $55 million decrease due to lower volumes on our Bakken Pipeline resulting from lower Bakken crude oil production, a $26 million decrease in crude terminal margin primarily driven by lower Permian and Bakken pipeline volumes, reduced Gulf Coast refinery utilization from adverse weather, and decreased export demand, a $5 million decrease due to lower volumes on our Bayou Bridge pipeline, and a $3 million decrease in Mid-Continent gathering volumes due to lower production. These decreases were partially offset by a $92 million increase (excluding 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net change of $15 million in unrealized gains and losses on commodity risk management activities) from our crude oil acquisition and marketing business primarily due to losses realized in the first quarter of 2020 on the write down of crude inventory due to significant market price declines;</w:t>
      </w:r>
    </w:p>
    <w:p>
      <w:pPr>
        <w:spacing w:after="0" w:line="38"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increase of $2 million in selling, general and administrative expenses primarily due to higher insurance premiums and allocated overhead costs; and</w:t>
      </w:r>
    </w:p>
    <w:p>
      <w:pPr>
        <w:spacing w:after="0" w:line="140"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of $7 million in Adjusted EBITDA related to unconsolidated affiliates due to lower volumes on White Cliffs Pipeline due to lower crude oil production in the DJ basin, partly offset by higher margin from jet fuel sales by our joint ventures, partially offset by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color w:val="auto"/>
        </w:rPr>
        <w:t>a decrease of $36 million in operating expenses primarily due to lower volume-driven expenses and corporate cost reduction initiatives.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i w:val="1"/>
                <w:iCs w:val="1"/>
                <w:color w:val="auto"/>
              </w:rPr>
              <w:t>Investment in Sunoco LP</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7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7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2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1"/>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March 31, 2021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Sunoco LP segment decreased due to the net impacts of the following:</w:t>
      </w:r>
    </w:p>
    <w:p>
      <w:pPr>
        <w:spacing w:after="0" w:line="62" w:lineRule="exact"/>
        <w:rPr>
          <w:sz w:val="20"/>
          <w:szCs w:val="20"/>
          <w:color w:val="auto"/>
        </w:rPr>
      </w:pPr>
    </w:p>
    <w:p>
      <w:pPr>
        <w:ind w:left="34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in the gross profit on motor fuel sales of $78 million primarily due to a 20.7% decrease in gross profit per gallon sold and a 7.5% decrease in gallons sold;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decrease in non-motor fuel sales and lease gross profit of $17 million primarily due to reduced credit card transactions; partially offset by</w:t>
      </w:r>
    </w:p>
    <w:p>
      <w:pPr>
        <w:spacing w:after="0" w:line="128"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in operating expenses and selling, general and administrative expenses of $43 million primarily due to lower expected credit losses, employee costs, professional fees, credit card processing fees, insurance and maintenance.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i w:val="1"/>
                <w:iCs w:val="1"/>
                <w:color w:val="auto"/>
              </w:rPr>
              <w:t>Investment in USAC</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7420" w:type="dxa"/>
            <w:vAlign w:val="bottom"/>
          </w:tcPr>
          <w:p>
            <w:pPr>
              <w:spacing w:after="0"/>
              <w:rPr>
                <w:sz w:val="24"/>
                <w:szCs w:val="24"/>
                <w:color w:val="auto"/>
              </w:rPr>
            </w:pPr>
          </w:p>
        </w:tc>
        <w:tc>
          <w:tcPr>
            <w:tcW w:w="212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74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97"/>
              </w:rPr>
              <w:t>March 31,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42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USAC segment reflects the consolidated results of USAC.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March 31, 2021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USAC segment decreased due to the net impacts of the following:</w:t>
      </w:r>
    </w:p>
    <w:p>
      <w:pPr>
        <w:spacing w:after="0" w:line="62" w:lineRule="exact"/>
        <w:rPr>
          <w:sz w:val="20"/>
          <w:szCs w:val="20"/>
          <w:color w:val="auto"/>
        </w:rPr>
      </w:pPr>
    </w:p>
    <w:p>
      <w:pPr>
        <w:ind w:left="340" w:right="2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 of $18 million in segment margin primarily due to a decrease in demand for compression services driven by decreased U.S. crude oil and natural gas activity compared to the prior period, partially offset by</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 of $7 million in operating expenses is primarily driven by the decrease in average revenue generating horsepower and reduced headcount in the current period; and</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 of $5 million in selling, general and administrative expenses primarily due to changes in the allowance for expected credit losses and lower employee-related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i w:val="1"/>
                <w:iCs w:val="1"/>
                <w:color w:val="auto"/>
              </w:rPr>
              <w:t>All Other</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7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7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r>
      <w:tr>
        <w:trPr>
          <w:trHeight w:val="223"/>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and eliminations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Amounts reflected in our all other segment primarily include:</w:t>
      </w:r>
    </w:p>
    <w:p>
      <w:pPr>
        <w:spacing w:after="0" w:line="117"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natural gas marketing operations;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wholly-owned natural gas compression operations;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investment in coal handling facilities;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Canadian operations, which include natural gas gathering and processing assets.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March 31, 2021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all other segment increased due to the net impacts of the following:</w:t>
      </w:r>
    </w:p>
    <w:p>
      <w:pPr>
        <w:spacing w:after="0" w:line="62" w:lineRule="exact"/>
        <w:rPr>
          <w:sz w:val="20"/>
          <w:szCs w:val="20"/>
          <w:color w:val="auto"/>
        </w:rPr>
      </w:pPr>
    </w:p>
    <w:p>
      <w:pPr>
        <w:ind w:left="340" w:hanging="332"/>
        <w:spacing w:after="0" w:line="277"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$52 million from power trading activities primarily due to short-term, favorable market conditions created by Winter Storm Uri in February 2021;</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$17 million primarily due to revenues earned under the Electric Reliability Council of Texas (“ERCOT”) responsive reserve program during the Winter Storm Uri,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$5 million primarily due to increased gains from sales of storage natural gas; partially offset by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decrease of $22 million primarily due to insurance proceeds received in the prior period on settled claims related to our MTBE litigation; and</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decrease of $10 million due to higher utility expense related to freezing temperatures.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ability to satisfy obligations and pay distributions to unitholders will depend on our future performance, which will be subject to prevailing economic, financial, business and weather conditions, and other factors, many of which are beyond management’s control.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expect capital expenditures in 2021 to be within the following ranges (excluding capital expenditures related to our investments in Sunoco LP and USAC):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Growth</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Maintenance</w:t>
            </w:r>
          </w:p>
        </w:tc>
        <w:tc>
          <w:tcPr>
            <w:tcW w:w="96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High</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High</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Intrastate transportation and storage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Interstate transportation and storage </w:t>
            </w:r>
            <w:r>
              <w:rPr>
                <w:rFonts w:ascii="Arial" w:cs="Arial" w:eastAsia="Arial" w:hAnsi="Arial"/>
                <w:sz w:val="23"/>
                <w:szCs w:val="23"/>
                <w:color w:val="auto"/>
                <w:vertAlign w:val="superscript"/>
              </w:rPr>
              <w:t>(1)</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NGL and refined products transportation and services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Crude oil transportation and services </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(including eliminations)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 expenditures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1,745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20" w:hanging="332"/>
        <w:spacing w:after="0" w:line="227" w:lineRule="auto"/>
        <w:tabs>
          <w:tab w:leader="none" w:pos="328"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Includes capital expenditures related to our proportionate ownership of the Bakken, Rover and Bayou Bridge pipeline projects and our proportionate ownership of the Orbit Gulf Coast NGL export project.</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assets used in our natural gas and liquids operations, including pipelines, gathering systems and related facilities, are generally long-lived assets and do not require significant maintenance capital expenditures. Accordingly, we do not have any significant financial commitments for maintenance capital expenditures in our businesses. From time to time we experience increases in pipe costs due to a number of reasons, including but not limited to, delays from steel mills, limited selection of mills capable of producing large diameter pipe timely, higher steel prices and other factors beyond our control. However, we have included these factors in our anticipated growth capital expenditures for each year.</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fund maintenance capital expenditures and distributions with cash flows from operating activities. We generally expect to fund growth capital expenditures with proceeds of borrowings under our credit facilities, along with cash from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Sunoco LP currently expects to invest approximately $150 million in growth capital expenditures and approximately $45 million on maintenance capital expenditures for the full year 2021.</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USAC currently plans to spend approximately $22 million in maintenance capital expenditures and currently has budgeted between $30 million and $40 million in expansion capital expenditures for the full year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flows may change in the future due to a number of factors, some of which we cannot control. These include regulatory changes, the price for our and services, the demand for such products and services, margin requirements resulting from significant changes in commodity prices, operational risks, the successful integration of our acquisitions and other factors.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Changes in cash flows from operating activities between periods primarily result from changes in earnings (as discussed in “Results of Operations” above), excluding the impacts of non-cash items and changes in operating assets and liabilities. Non-cash items include recurring non-cash expenses, such as depreciation, depletion and amortization expense and non-cash compensation expense. The increase in depreciation, depletion and amortization expense during the periods presented primarily resulted from construction and acquisition of assets, while changes in non-cash compensation expense resulted from changes in the number of units granted and changes in the grant date fair value estimated for such grants. Cash flows from operating activities also differ from earnings as a result of non-cash charges that may not be recurring, such as impairment charges and allowance for equity funds used during construction. The allowance for equity funds used during construction increases in periods when we have a significant amount of interstate pipeline construction in progress. Changes in operating assets and liabilities between periods result from factors such as the changes in the value of price risk management assets and liabilities, the timing of accounts receivable collection, the timing of payments on accounts payable, the timing of purchase and sales of inventories and the timing of advances and deposits received from customers.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Three months ended March 31, 2021 compared to three months ended March 31, 2020</w:t>
      </w:r>
      <w:r>
        <w:rPr>
          <w:rFonts w:ascii="Arial" w:cs="Arial" w:eastAsia="Arial" w:hAnsi="Arial"/>
          <w:sz w:val="17"/>
          <w:szCs w:val="17"/>
          <w:color w:val="auto"/>
        </w:rPr>
        <w:t>. Cash provided by operating activities during 2021 was $5.16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billion compared to $1.83 billion for 2020, and net income was $3.64 billion for 2021 and net loss was $964 million for 2020. The difference between net income and net cash provided by operating activities for the three months ended March 31, 2021 primarily consisted of net changes in operating assets and liabilities (net of effects of acquisitions) of $533 million and other non-cash items totaling $942 million.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non-cash activity in 2021 and 2020 consisted primarily of depreciation, depletion and amortization of $954 million and $867 million, respectively, non-cash compensation expense of $28 million and $22 million, respectively, inventory valuation adjustments of $100 million and $227 million, respectively, and deferred income taxes of $66 million and $42 million, respectively. Non-cash activity also included losses on extinguishments of debt in 2021 and 2020 of $7 million and $62 million, respectively, and impairment losses of $3 million and $1.33 billion in 2021 and 2020, respectively.</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(loss) includes equity in earnings of unconsolidated affiliates of $55 million in 2021 and equity in losses of unconsolidated affiliates of $7 million in 2020, and cash provided by operating activities includes cash distributions received from unconsolidated affiliates that are deemed to be paid from cumulative earnings, which distributions were $45 million in 2021 and $58 million in 2020.</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Cash paid for interest, net of interest capitalized, was $562 million and $535 million for the three months ended March 31,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capitalized was $27 million and $38 million for the three months ended March 31, 2021 and 2020,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flows from investing activities primarily consist of cash amounts paid for acquisitions, capital expenditures, cash contributions to our joint ventures, and cash proceeds from sales or contributions of assets or businesses. In addition, distributions from equity investees are included in cash flows from investing activities if the distributions are deemed to be a return of the Partnership’s investment. Changes in capital expenditures between periods primarily result from increases or decreases in our growth capital expenditures to fund our construction and expansion projects.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Three months ended March 31, 2021 compared to three months ended March 31, 2020. </w:t>
      </w:r>
      <w:r>
        <w:rPr>
          <w:rFonts w:ascii="Arial" w:cs="Arial" w:eastAsia="Arial" w:hAnsi="Arial"/>
          <w:sz w:val="18"/>
          <w:szCs w:val="18"/>
          <w:color w:val="auto"/>
        </w:rPr>
        <w:t>Cash used in investing activities during 2021 was $635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$1.56 billion for 2020. Total capital expenditures (excluding the allowance for equity funds used during construction and net of contributions in aid of construction costs) for 2021 were $695 million compared to $1.60 billion for 2020. Additional detail related to our capital expenditures is provided in the table below.</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capital expenditures (including only our proportionate share of the Bakken, Rover and Bayou Bridge pipeline projects and net of contributions in aid of construction costs) on an accrual basis for the three months ended March 31,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408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color w:val="auto"/>
              </w:rPr>
              <w:t>Capital Expenditures Recorded During Period</w:t>
            </w:r>
          </w:p>
        </w:tc>
        <w:tc>
          <w:tcPr>
            <w:tcW w:w="44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Growth</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Maintenance</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9"/>
                <w:szCs w:val="19"/>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Intrastate transportation and storage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Interstate transportation and storage</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NGL and refined products transportation and services</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187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 transportation and services</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Investment in Sunoco LP</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USAC</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(including eliminations)</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 expenditures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cash flows from financing activities between periods primarily result from changes in the levels of borrowings and equity issuances, which are primarily used to fund our acquisitions and growth capital expenditures. Distributions increase between the periods based on increases in the number of common units outstanding or increases in the distribution rate.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Three months ended March 31, 2021 compared to three months ended March 31, 2020. </w:t>
      </w:r>
      <w:r>
        <w:rPr>
          <w:rFonts w:ascii="Arial" w:cs="Arial" w:eastAsia="Arial" w:hAnsi="Arial"/>
          <w:sz w:val="18"/>
          <w:szCs w:val="18"/>
          <w:color w:val="auto"/>
        </w:rPr>
        <w:t>Cash used in financing activities during 2021 was $4.53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$366 million for 2020. During 2021, we had a net decrease in our debt level of $3.73 billion compared to a net decrease of $764 million for 2020. In 2020, we paid debt issuance costs of $51 million. During 2020, our subsidiaries received $1.58 billion in net proceeds from offerings of preferred units.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2021 and 2020, we paid distributions of $406 million and $770 million, respectively, to our partners. In 2021 and 2020, we paid distributions of $406 million and $444 million, respectively, to noncontrolling interests. In 2021 and 2020, we paid distributions of $12 million to our redeemable noncontrolling interests. In addition, we received capital contributions of $20 million in cash from noncontrolling interests in 2021 compared to $95 million in cash from noncontrolling interests in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82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1"/>
        </w:trPr>
        <w:tc>
          <w:tcPr>
            <w:tcW w:w="8240" w:type="dxa"/>
            <w:vAlign w:val="bottom"/>
            <w:gridSpan w:val="3"/>
          </w:tcPr>
          <w:p>
            <w:pPr>
              <w:spacing w:after="0"/>
              <w:rPr>
                <w:sz w:val="20"/>
                <w:szCs w:val="20"/>
                <w:color w:val="auto"/>
              </w:rPr>
            </w:pPr>
            <w:r>
              <w:rPr>
                <w:rFonts w:ascii="Arial" w:cs="Arial" w:eastAsia="Arial" w:hAnsi="Arial"/>
                <w:sz w:val="18"/>
                <w:szCs w:val="18"/>
                <w:b w:val="1"/>
                <w:bCs w:val="1"/>
                <w:color w:val="auto"/>
              </w:rPr>
              <w:t>Description of Indebtedness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gridSpan w:val="2"/>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240" w:type="dxa"/>
            <w:vAlign w:val="bottom"/>
            <w:gridSpan w:val="3"/>
          </w:tcPr>
          <w:p>
            <w:pPr>
              <w:spacing w:after="0"/>
              <w:rPr>
                <w:sz w:val="20"/>
                <w:szCs w:val="20"/>
                <w:color w:val="auto"/>
              </w:rPr>
            </w:pPr>
            <w:r>
              <w:rPr>
                <w:rFonts w:ascii="Arial" w:cs="Arial" w:eastAsia="Arial" w:hAnsi="Arial"/>
                <w:sz w:val="18"/>
                <w:szCs w:val="18"/>
                <w:color w:val="auto"/>
              </w:rPr>
              <w:t>Our outstanding consolidated indebtedness was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29"/>
        </w:trPr>
        <w:tc>
          <w:tcPr>
            <w:tcW w:w="82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ET Indebtedness: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82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gridSpan w:val="3"/>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37,855</w:t>
            </w:r>
          </w:p>
        </w:tc>
        <w:tc>
          <w:tcPr>
            <w:tcW w:w="0" w:type="dxa"/>
            <w:vAlign w:val="bottom"/>
          </w:tcPr>
          <w:p>
            <w:pPr>
              <w:spacing w:after="0"/>
              <w:rPr>
                <w:sz w:val="1"/>
                <w:szCs w:val="1"/>
                <w:color w:val="auto"/>
              </w:rPr>
            </w:pPr>
          </w:p>
        </w:tc>
      </w:tr>
      <w:tr>
        <w:trPr>
          <w:trHeight w:val="229"/>
        </w:trPr>
        <w:tc>
          <w:tcPr>
            <w:tcW w:w="8240" w:type="dxa"/>
            <w:vAlign w:val="bottom"/>
            <w:gridSpan w:val="3"/>
          </w:tcPr>
          <w:p>
            <w:pPr>
              <w:ind w:left="240"/>
              <w:spacing w:after="0" w:line="230" w:lineRule="exact"/>
              <w:rPr>
                <w:sz w:val="20"/>
                <w:szCs w:val="20"/>
                <w:color w:val="auto"/>
              </w:rPr>
            </w:pPr>
            <w:r>
              <w:rPr>
                <w:rFonts w:ascii="Arial" w:cs="Arial" w:eastAsia="Arial" w:hAnsi="Arial"/>
                <w:sz w:val="18"/>
                <w:szCs w:val="18"/>
                <w:color w:val="auto"/>
              </w:rPr>
              <w:t xml:space="preserve">Term Loan </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8240" w:type="dxa"/>
            <w:vAlign w:val="bottom"/>
            <w:gridSpan w:val="3"/>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Five-Year Credit Facility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29"/>
        </w:trPr>
        <w:tc>
          <w:tcPr>
            <w:tcW w:w="8240" w:type="dxa"/>
            <w:vAlign w:val="bottom"/>
            <w:gridSpan w:val="3"/>
          </w:tcPr>
          <w:p>
            <w:pPr>
              <w:ind w:left="20"/>
              <w:spacing w:after="0"/>
              <w:rPr>
                <w:sz w:val="20"/>
                <w:szCs w:val="20"/>
                <w:color w:val="auto"/>
              </w:rPr>
            </w:pPr>
            <w:r>
              <w:rPr>
                <w:rFonts w:ascii="Arial" w:cs="Arial" w:eastAsia="Arial" w:hAnsi="Arial"/>
                <w:sz w:val="18"/>
                <w:szCs w:val="18"/>
                <w:b w:val="1"/>
                <w:bCs w:val="1"/>
                <w:color w:val="auto"/>
              </w:rPr>
              <w:t>Subsidiary Indebtedness: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Transwestern Senior Notes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240" w:type="dxa"/>
            <w:vAlign w:val="bottom"/>
            <w:gridSpan w:val="3"/>
          </w:tcPr>
          <w:p>
            <w:pPr>
              <w:ind w:left="180"/>
              <w:spacing w:after="0"/>
              <w:rPr>
                <w:sz w:val="20"/>
                <w:szCs w:val="20"/>
                <w:color w:val="auto"/>
              </w:rPr>
            </w:pPr>
            <w:r>
              <w:rPr>
                <w:rFonts w:ascii="Arial" w:cs="Arial" w:eastAsia="Arial" w:hAnsi="Arial"/>
                <w:sz w:val="18"/>
                <w:szCs w:val="18"/>
                <w:color w:val="auto"/>
              </w:rPr>
              <w:t>Panhandle Senior Notes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8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Bakken Senior Notes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8240" w:type="dxa"/>
            <w:vAlign w:val="bottom"/>
            <w:gridSpan w:val="3"/>
          </w:tcPr>
          <w:p>
            <w:pPr>
              <w:ind w:left="180"/>
              <w:spacing w:after="0"/>
              <w:rPr>
                <w:sz w:val="20"/>
                <w:szCs w:val="20"/>
                <w:color w:val="auto"/>
              </w:rPr>
            </w:pPr>
            <w:r>
              <w:rPr>
                <w:rFonts w:ascii="Arial" w:cs="Arial" w:eastAsia="Arial" w:hAnsi="Arial"/>
                <w:sz w:val="18"/>
                <w:szCs w:val="18"/>
                <w:color w:val="auto"/>
              </w:rPr>
              <w:t>Sunoco LP Senior Notes and lease-related obligations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29"/>
        </w:trPr>
        <w:tc>
          <w:tcPr>
            <w:tcW w:w="8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USAC Senior Notes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30"/>
        </w:trPr>
        <w:tc>
          <w:tcPr>
            <w:tcW w:w="8240" w:type="dxa"/>
            <w:vAlign w:val="bottom"/>
            <w:gridSpan w:val="3"/>
          </w:tcPr>
          <w:p>
            <w:pPr>
              <w:ind w:left="180"/>
              <w:spacing w:after="0"/>
              <w:rPr>
                <w:sz w:val="20"/>
                <w:szCs w:val="20"/>
                <w:color w:val="auto"/>
              </w:rPr>
            </w:pPr>
            <w:r>
              <w:rPr>
                <w:rFonts w:ascii="Arial" w:cs="Arial" w:eastAsia="Arial" w:hAnsi="Arial"/>
                <w:sz w:val="18"/>
                <w:szCs w:val="18"/>
                <w:color w:val="auto"/>
              </w:rPr>
              <w:t>HFOTCO Tax Exempt Notes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9"/>
        </w:trPr>
        <w:tc>
          <w:tcPr>
            <w:tcW w:w="8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Revolving credit facilities: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3"/>
          </w:tcPr>
          <w:p>
            <w:pPr>
              <w:ind w:left="360"/>
              <w:spacing w:after="0"/>
              <w:rPr>
                <w:sz w:val="20"/>
                <w:szCs w:val="20"/>
                <w:color w:val="auto"/>
              </w:rPr>
            </w:pPr>
            <w:r>
              <w:rPr>
                <w:rFonts w:ascii="Arial" w:cs="Arial" w:eastAsia="Arial" w:hAnsi="Arial"/>
                <w:sz w:val="18"/>
                <w:szCs w:val="18"/>
                <w:color w:val="auto"/>
              </w:rPr>
              <w:t>Sunoco LP Credit Facility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USAC Credit Facility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9"/>
        </w:trPr>
        <w:tc>
          <w:tcPr>
            <w:tcW w:w="8240" w:type="dxa"/>
            <w:vAlign w:val="bottom"/>
            <w:gridSpan w:val="3"/>
          </w:tcPr>
          <w:p>
            <w:pPr>
              <w:ind w:left="360"/>
              <w:spacing w:after="0"/>
              <w:rPr>
                <w:sz w:val="20"/>
                <w:szCs w:val="20"/>
                <w:color w:val="auto"/>
              </w:rPr>
            </w:pPr>
            <w:r>
              <w:rPr>
                <w:rFonts w:ascii="Arial" w:cs="Arial" w:eastAsia="Arial" w:hAnsi="Arial"/>
                <w:sz w:val="18"/>
                <w:szCs w:val="18"/>
                <w:color w:val="auto"/>
              </w:rPr>
              <w:t>Energy Transfer Canada Revolver due February 2024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Energy Transfer Canada Revolver Term Loan A due February 2024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8240" w:type="dxa"/>
            <w:vAlign w:val="bottom"/>
            <w:gridSpan w:val="3"/>
          </w:tcPr>
          <w:p>
            <w:pPr>
              <w:ind w:left="20"/>
              <w:spacing w:after="0"/>
              <w:rPr>
                <w:sz w:val="20"/>
                <w:szCs w:val="20"/>
                <w:color w:val="auto"/>
              </w:rPr>
            </w:pPr>
            <w:r>
              <w:rPr>
                <w:rFonts w:ascii="Arial" w:cs="Arial" w:eastAsia="Arial" w:hAnsi="Arial"/>
                <w:sz w:val="18"/>
                <w:szCs w:val="18"/>
                <w:color w:val="auto"/>
              </w:rPr>
              <w:t>Other long-term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unamortized premiums, discounts, and fair value adjustments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Deferred debt issuance costs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Total debt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3"/>
          </w:tcPr>
          <w:p>
            <w:pPr>
              <w:ind w:left="520"/>
              <w:spacing w:after="0"/>
              <w:rPr>
                <w:sz w:val="20"/>
                <w:szCs w:val="20"/>
                <w:color w:val="auto"/>
              </w:rPr>
            </w:pPr>
            <w:r>
              <w:rPr>
                <w:rFonts w:ascii="Arial" w:cs="Arial" w:eastAsia="Arial" w:hAnsi="Arial"/>
                <w:sz w:val="18"/>
                <w:szCs w:val="18"/>
                <w:color w:val="auto"/>
              </w:rPr>
              <w:t>Less: current maturities of long-term debt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Long-term debt, less current maturities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340" w:hanging="332"/>
        <w:spacing w:after="0" w:line="254" w:lineRule="auto"/>
        <w:tabs>
          <w:tab w:leader="none" w:pos="328" w:val="left"/>
        </w:tabs>
        <w:numPr>
          <w:ilvl w:val="0"/>
          <w:numId w:val="44"/>
        </w:numPr>
        <w:rPr>
          <w:rFonts w:ascii="Arial" w:cs="Arial" w:eastAsia="Arial" w:hAnsi="Arial"/>
          <w:sz w:val="22"/>
          <w:szCs w:val="22"/>
          <w:color w:val="auto"/>
          <w:vertAlign w:val="superscript"/>
        </w:rPr>
      </w:pPr>
      <w:r>
        <w:rPr>
          <w:rFonts w:ascii="Arial" w:cs="Arial" w:eastAsia="Arial" w:hAnsi="Arial"/>
          <w:sz w:val="17"/>
          <w:szCs w:val="17"/>
          <w:color w:val="auto"/>
        </w:rPr>
        <w:t>The balances presented above include senior notes that were formerly obligations of ETO prior to the Rollup Mergers discussed below and in “Recent Developments” above. As of March 31, 2021 and December 31, 2020, the outstanding principal amount of ETO senior notes was $36.4 billion and $37.8 billion, respectively. Beginning April 1, 2021, these senior notes are obligations of ET. A description of the ETO senior notes that were assumed by ET is included in the Partnership’s Annual Report on Form 10-K for the year ended December 31, 2020.</w:t>
      </w:r>
    </w:p>
    <w:p>
      <w:pPr>
        <w:spacing w:after="0" w:line="83" w:lineRule="exact"/>
        <w:rPr>
          <w:rFonts w:ascii="Arial" w:cs="Arial" w:eastAsia="Arial" w:hAnsi="Arial"/>
          <w:sz w:val="22"/>
          <w:szCs w:val="22"/>
          <w:color w:val="auto"/>
          <w:vertAlign w:val="superscript"/>
        </w:rPr>
      </w:pPr>
    </w:p>
    <w:p>
      <w:pPr>
        <w:ind w:left="340" w:hanging="332"/>
        <w:spacing w:after="0" w:line="227" w:lineRule="auto"/>
        <w:tabs>
          <w:tab w:leader="none" w:pos="328"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The Term Loan and Five-Year Credit Facility were previously obligations of ETO. Subsequent to the completion of the Rollup Mergers on April 1, 2021, these facilities are obligations of 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Transactions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Rollup Mergers on April 1, 2021, ET entered into various supplemental indentures and assumed all the obligations of ETO under the respective indentures and credit agreements.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2021, ETO redeemed its $600 million of 4.40% senior notes due April 1, 2021 and its $800 million of 4.65% senior notes due June 1, 2021, using proceeds from the Five-Year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 and Commercial Paper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Rollup Mergers, on April 1, 2021, ET assumed all of ETO’s obligations in respect of its term loan credit agreement (the “Term Loan”) and Sunoco Logistics Operations was released as a guarantor in respect of the Term Loan. The Partnership’s Term Loan provides for a $2.00 billion three-year term loan credit facility. Borrowings under the Term Loan mature on October 17, 2022 and are available for working capital purposes and for general partnership purposes. As of March 31, 2021, the Term Loan had $2.00 billion outstanding and was fully drawn. The weighted average interest rate on the total amount outstanding as of March 31, 2021 was 1.11%.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Five-Year Credit Facility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Rollup Mergers, on April 1, 2021, ET assumed all of ETO’s obligations in respect of its revolving credit facility (the “Five-Year Credit Facility”) and Sunoco Logistics Operations was released as a guarantor in respect of the Five-Year Credit Facility.The Partnership’s Five-Year Credit Facility allows for unsecured borrowings up to $5.00 billion and matures on December 1, 2023. The Five-Year Credit Facility contains an accordion feature, under which the total aggregate commitment may be increased up to $6.00 billion under certain conditions.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March 31, 2021, the Five-Year Credit Facility had $800 million of outstanding borrowings, all of which consisted of commercial paper. The amount available for future borrowings was $4.08 billion, after accounting for outstanding letters of credit in the amount of $121 million. The weighted average interest rate on the total amount outstanding as of March 31, 2021 was 0.45%.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364-Day Facility</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Rollup Mergers, on April 1, 2021, ET assumed all of ETO’s obligations in respect of its 364-day revolving credit facility (the “364-Day Facility”) and Sunoco Logistics Operations was released as a guarantor in respect of the 364-Day Facility.The Partnership’s 364-Day Facility allows for unsecured borrowings up to $1.00 billion and matures on November 26, 2021. As of March 31, 2021, the 364-Day Facility had no outstanding borrowings.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Credit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Sunoco LP Credit Facility had $381 million of outstanding borrowings and $8 million in standby letters of credit and matures in July 2023. The amount available for future borrowings at March 31, 2021 was $1.1 billion. The weighted average interest rate on the total amount outstanding as of March 31, 2021 was 1.86%.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USAC Credit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USAC had $503 million of outstanding borrowings and no outstanding letters of credit under the credit agreement. As of March 31, 2021, USAC had $1.10 billion of availability under its credit facility. The weighted average interest rate on the total amount outstanding as of March 31, 2021 as 3.20%.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Transfer Canada Credit Facilities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12529"/>
        </w:rPr>
        <w:t xml:space="preserve">Energy Transfer Canada is party to a credit agreement providing for a C$350 million (US$278 million at the </w:t>
      </w:r>
      <w:r>
        <w:rPr>
          <w:rFonts w:ascii="Arial" w:cs="Arial" w:eastAsia="Arial" w:hAnsi="Arial"/>
          <w:sz w:val="16"/>
          <w:szCs w:val="16"/>
          <w:color w:val="000000"/>
        </w:rPr>
        <w:t>March 31, 2021</w:t>
      </w:r>
      <w:r>
        <w:rPr>
          <w:rFonts w:ascii="Arial" w:cs="Arial" w:eastAsia="Arial" w:hAnsi="Arial"/>
          <w:sz w:val="16"/>
          <w:szCs w:val="16"/>
          <w:color w:val="212529"/>
        </w:rPr>
        <w:t xml:space="preserve"> exchange rate) senior secured term loan facility, a C$525 million (US$417 million at the </w:t>
      </w:r>
      <w:r>
        <w:rPr>
          <w:rFonts w:ascii="Arial" w:cs="Arial" w:eastAsia="Arial" w:hAnsi="Arial"/>
          <w:sz w:val="16"/>
          <w:szCs w:val="16"/>
          <w:color w:val="000000"/>
        </w:rPr>
        <w:t>March 31, 2021</w:t>
      </w:r>
      <w:r>
        <w:rPr>
          <w:rFonts w:ascii="Arial" w:cs="Arial" w:eastAsia="Arial" w:hAnsi="Arial"/>
          <w:sz w:val="16"/>
          <w:szCs w:val="16"/>
          <w:color w:val="212529"/>
        </w:rPr>
        <w:t xml:space="preserve"> exchange rate) senior secured revolving credit facility, and a C$300 million (US$239 million at the </w:t>
      </w:r>
      <w:r>
        <w:rPr>
          <w:rFonts w:ascii="Arial" w:cs="Arial" w:eastAsia="Arial" w:hAnsi="Arial"/>
          <w:sz w:val="16"/>
          <w:szCs w:val="16"/>
          <w:color w:val="000000"/>
        </w:rPr>
        <w:t>March 31, 2021</w:t>
      </w:r>
      <w:r>
        <w:rPr>
          <w:rFonts w:ascii="Arial" w:cs="Arial" w:eastAsia="Arial" w:hAnsi="Arial"/>
          <w:sz w:val="16"/>
          <w:szCs w:val="16"/>
          <w:color w:val="212529"/>
        </w:rPr>
        <w:t xml:space="preserve"> exchange rate) senior secured construction loan facility (the “KAPS Facility”). The term loan facility and the revolving credit facility mature on February 25, 2024. The KAPS Facility matures on June 13, 2024. Energy Transfer Canada may incur additional term loans and revolving commitments in an aggregate amount not to exceed C$250 million (US$199 million at the </w:t>
      </w:r>
      <w:r>
        <w:rPr>
          <w:rFonts w:ascii="Arial" w:cs="Arial" w:eastAsia="Arial" w:hAnsi="Arial"/>
          <w:sz w:val="16"/>
          <w:szCs w:val="16"/>
          <w:color w:val="000000"/>
        </w:rPr>
        <w:t>March 31, 2021</w:t>
      </w:r>
      <w:r>
        <w:rPr>
          <w:rFonts w:ascii="Arial" w:cs="Arial" w:eastAsia="Arial" w:hAnsi="Arial"/>
          <w:sz w:val="16"/>
          <w:szCs w:val="16"/>
          <w:color w:val="212529"/>
        </w:rPr>
        <w:t xml:space="preserve"> exchange rate), subject to receiving commitments for such additional term loans or revolving commitments from either new lenders or increased commitments from existing lenders.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our Covenants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and our subsidiaries were in compliance with all requirements, tests, limitations, and covenants related to our debt agreements as of March 31,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 Paid by ET</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its partnership agreement, ET will distribute all of its Available Cash, as defined in the partnership agreement, within 50 days following the end of each fiscal quarter. Available Cash generally means, with respect to any quarter, all cash on hand at the end of such quarter less the amount of cash reserves that are necessary or appropriate in the reasonable discretion of our general partner that is necessary or appropriate to provide for future cash requirements.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282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952"/>
        </w:trPr>
        <w:tc>
          <w:tcPr>
            <w:tcW w:w="56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Cash Distributions on ET Common Units</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78"/>
        </w:trPr>
        <w:tc>
          <w:tcPr>
            <w:tcW w:w="9140" w:type="dxa"/>
            <w:vAlign w:val="bottom"/>
            <w:gridSpan w:val="8"/>
          </w:tcPr>
          <w:p>
            <w:pPr>
              <w:spacing w:after="0"/>
              <w:rPr>
                <w:sz w:val="20"/>
                <w:szCs w:val="20"/>
                <w:color w:val="auto"/>
              </w:rPr>
            </w:pPr>
            <w:r>
              <w:rPr>
                <w:rFonts w:ascii="Arial" w:cs="Arial" w:eastAsia="Arial" w:hAnsi="Arial"/>
                <w:sz w:val="18"/>
                <w:szCs w:val="18"/>
                <w:color w:val="auto"/>
                <w:w w:val="96"/>
              </w:rPr>
              <w:t>Distributions declared and/or paid with respect to ET common units subsequent to December 31, 2020 were as follows:</w:t>
            </w:r>
          </w:p>
        </w:tc>
        <w:tc>
          <w:tcPr>
            <w:tcW w:w="2080" w:type="dxa"/>
            <w:vAlign w:val="bottom"/>
          </w:tcPr>
          <w:p>
            <w:pPr>
              <w:spacing w:after="0"/>
              <w:rPr>
                <w:sz w:val="24"/>
                <w:szCs w:val="24"/>
                <w:color w:val="auto"/>
              </w:rPr>
            </w:pPr>
          </w:p>
        </w:tc>
      </w:tr>
      <w:tr>
        <w:trPr>
          <w:trHeight w:val="418"/>
        </w:trPr>
        <w:tc>
          <w:tcPr>
            <w:tcW w:w="2820" w:type="dxa"/>
            <w:vAlign w:val="bottom"/>
            <w:gridSpan w:val="3"/>
          </w:tcPr>
          <w:p>
            <w:pPr>
              <w:ind w:left="840"/>
              <w:spacing w:after="0"/>
              <w:rPr>
                <w:sz w:val="20"/>
                <w:szCs w:val="20"/>
                <w:color w:val="auto"/>
              </w:rPr>
            </w:pPr>
            <w:r>
              <w:rPr>
                <w:rFonts w:ascii="Arial" w:cs="Arial" w:eastAsia="Arial" w:hAnsi="Arial"/>
                <w:sz w:val="18"/>
                <w:szCs w:val="18"/>
                <w:color w:val="auto"/>
              </w:rPr>
              <w:t>Quarter Ended</w:t>
            </w:r>
          </w:p>
        </w:tc>
        <w:tc>
          <w:tcPr>
            <w:tcW w:w="2840" w:type="dxa"/>
            <w:vAlign w:val="bottom"/>
            <w:gridSpan w:val="2"/>
          </w:tcPr>
          <w:p>
            <w:pPr>
              <w:ind w:left="900"/>
              <w:spacing w:after="0"/>
              <w:rPr>
                <w:sz w:val="20"/>
                <w:szCs w:val="20"/>
                <w:color w:val="auto"/>
              </w:rPr>
            </w:pPr>
            <w:r>
              <w:rPr>
                <w:rFonts w:ascii="Arial" w:cs="Arial" w:eastAsia="Arial" w:hAnsi="Arial"/>
                <w:sz w:val="18"/>
                <w:szCs w:val="18"/>
                <w:color w:val="auto"/>
              </w:rPr>
              <w:t>Record Date</w:t>
            </w:r>
          </w:p>
        </w:tc>
        <w:tc>
          <w:tcPr>
            <w:tcW w:w="2820" w:type="dxa"/>
            <w:vAlign w:val="bottom"/>
            <w:gridSpan w:val="2"/>
          </w:tcPr>
          <w:p>
            <w:pPr>
              <w:ind w:left="840"/>
              <w:spacing w:after="0"/>
              <w:rPr>
                <w:sz w:val="20"/>
                <w:szCs w:val="20"/>
                <w:color w:val="auto"/>
              </w:rPr>
            </w:pPr>
            <w:r>
              <w:rPr>
                <w:rFonts w:ascii="Arial" w:cs="Arial" w:eastAsia="Arial" w:hAnsi="Arial"/>
                <w:sz w:val="18"/>
                <w:szCs w:val="18"/>
                <w:color w:val="auto"/>
              </w:rPr>
              <w:t>Payment Date</w:t>
            </w:r>
          </w:p>
        </w:tc>
        <w:tc>
          <w:tcPr>
            <w:tcW w:w="660" w:type="dxa"/>
            <w:vAlign w:val="bottom"/>
          </w:tcPr>
          <w:p>
            <w:pPr>
              <w:spacing w:after="0"/>
              <w:rPr>
                <w:sz w:val="24"/>
                <w:szCs w:val="24"/>
                <w:color w:val="auto"/>
              </w:rPr>
            </w:pPr>
          </w:p>
        </w:tc>
        <w:tc>
          <w:tcPr>
            <w:tcW w:w="2080" w:type="dxa"/>
            <w:vAlign w:val="bottom"/>
          </w:tcPr>
          <w:p>
            <w:pPr>
              <w:jc w:val="right"/>
              <w:ind w:right="1110"/>
              <w:spacing w:after="0"/>
              <w:rPr>
                <w:sz w:val="20"/>
                <w:szCs w:val="20"/>
                <w:color w:val="auto"/>
              </w:rPr>
            </w:pPr>
            <w:r>
              <w:rPr>
                <w:rFonts w:ascii="Arial" w:cs="Arial" w:eastAsia="Arial" w:hAnsi="Arial"/>
                <w:sz w:val="18"/>
                <w:szCs w:val="18"/>
                <w:color w:val="auto"/>
              </w:rPr>
              <w:t>Rate</w:t>
            </w:r>
          </w:p>
        </w:tc>
      </w:tr>
      <w:tr>
        <w:trPr>
          <w:trHeight w:val="223"/>
        </w:trPr>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8, 2021</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19, 2021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0.1525</w:t>
            </w:r>
          </w:p>
        </w:tc>
      </w:tr>
      <w:tr>
        <w:trPr>
          <w:trHeight w:val="230"/>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March 31, 2021</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May 11, 2021</w:t>
            </w:r>
          </w:p>
        </w:tc>
        <w:tc>
          <w:tcPr>
            <w:tcW w:w="2820" w:type="dxa"/>
            <w:vAlign w:val="bottom"/>
            <w:gridSpan w:val="2"/>
          </w:tcPr>
          <w:p>
            <w:pPr>
              <w:spacing w:after="0"/>
              <w:rPr>
                <w:sz w:val="20"/>
                <w:szCs w:val="20"/>
                <w:color w:val="auto"/>
              </w:rPr>
            </w:pPr>
            <w:r>
              <w:rPr>
                <w:rFonts w:ascii="Arial" w:cs="Arial" w:eastAsia="Arial" w:hAnsi="Arial"/>
                <w:sz w:val="18"/>
                <w:szCs w:val="18"/>
                <w:color w:val="auto"/>
              </w:rPr>
              <w:t>May 19, 2021</w:t>
            </w:r>
          </w:p>
        </w:tc>
        <w:tc>
          <w:tcPr>
            <w:tcW w:w="6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0.1525</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on ET Preferred Units</w:t>
      </w:r>
    </w:p>
    <w:p>
      <w:pPr>
        <w:spacing w:after="0" w:line="1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discussed in “Recent Developments” above, in connection with the Rollup Mergers, ETO’s outstanding preferred units were converted into ET Preferred Units.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on the ET Preferred Units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Period Ended</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Record Date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Payment Date</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7"/>
              </w:rPr>
              <w:t xml:space="preserve">Series A </w:t>
            </w:r>
            <w:r>
              <w:rPr>
                <w:rFonts w:ascii="Arial" w:cs="Arial" w:eastAsia="Arial" w:hAnsi="Arial"/>
                <w:sz w:val="21"/>
                <w:szCs w:val="2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7"/>
              </w:rPr>
              <w:t xml:space="preserve">Series B </w:t>
            </w:r>
            <w:r>
              <w:rPr>
                <w:rFonts w:ascii="Arial" w:cs="Arial" w:eastAsia="Arial" w:hAnsi="Arial"/>
                <w:sz w:val="21"/>
                <w:szCs w:val="2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Series C</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Series D</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Series 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4"/>
              </w:rPr>
              <w:t xml:space="preserve">Series F </w:t>
            </w:r>
            <w:r>
              <w:rPr>
                <w:rFonts w:ascii="Arial" w:cs="Arial" w:eastAsia="Arial" w:hAnsi="Arial"/>
                <w:sz w:val="23"/>
                <w:szCs w:val="23"/>
                <w:color w:val="auto"/>
                <w:w w:val="84"/>
                <w:vertAlign w:val="superscript"/>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6"/>
              </w:rPr>
              <w:t xml:space="preserve">Series G </w:t>
            </w:r>
            <w:r>
              <w:rPr>
                <w:rFonts w:ascii="Arial" w:cs="Arial" w:eastAsia="Arial" w:hAnsi="Arial"/>
                <w:sz w:val="23"/>
                <w:szCs w:val="23"/>
                <w:color w:val="auto"/>
                <w:w w:val="86"/>
                <w:vertAlign w:val="superscript"/>
              </w:rPr>
              <w:t>(1)</w:t>
            </w:r>
          </w:p>
        </w:tc>
      </w:tr>
      <w:tr>
        <w:trPr>
          <w:trHeight w:val="159"/>
        </w:trPr>
        <w:tc>
          <w:tcPr>
            <w:tcW w:w="12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December 31,</w:t>
            </w:r>
          </w:p>
        </w:tc>
        <w:tc>
          <w:tcPr>
            <w:tcW w:w="12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February 1,</w:t>
            </w:r>
          </w:p>
        </w:tc>
        <w:tc>
          <w:tcPr>
            <w:tcW w:w="1320" w:type="dxa"/>
            <w:vAlign w:val="bottom"/>
            <w:gridSpan w:val="2"/>
            <w:shd w:val="clear" w:color="auto" w:fill="CCEEFF"/>
          </w:tcPr>
          <w:p>
            <w:pPr>
              <w:spacing w:after="0" w:line="159" w:lineRule="exact"/>
              <w:rPr>
                <w:sz w:val="20"/>
                <w:szCs w:val="20"/>
                <w:color w:val="auto"/>
              </w:rPr>
            </w:pPr>
            <w:r>
              <w:rPr>
                <w:rFonts w:ascii="Arial" w:cs="Arial" w:eastAsia="Arial" w:hAnsi="Arial"/>
                <w:sz w:val="16"/>
                <w:szCs w:val="16"/>
                <w:color w:val="auto"/>
              </w:rPr>
              <w:t>February 16,</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31.25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33.125</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98"/>
              </w:rPr>
              <w:t>$   0.4609</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   0.4766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0.4750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1100" w:type="dxa"/>
            <w:vAlign w:val="bottom"/>
            <w:gridSpan w:val="3"/>
            <w:shd w:val="clear" w:color="auto" w:fill="CCEEFF"/>
          </w:tcPr>
          <w:p>
            <w:pPr>
              <w:ind w:left="640"/>
              <w:spacing w:after="0" w:line="159" w:lineRule="exact"/>
              <w:rPr>
                <w:sz w:val="20"/>
                <w:szCs w:val="20"/>
                <w:color w:val="auto"/>
              </w:rPr>
            </w:pPr>
            <w:r>
              <w:rPr>
                <w:rFonts w:ascii="Arial" w:cs="Arial" w:eastAsia="Arial" w:hAnsi="Arial"/>
                <w:sz w:val="16"/>
                <w:szCs w:val="16"/>
                <w:color w:val="auto"/>
              </w:rPr>
              <w:t>—   $</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w:t>
            </w:r>
          </w:p>
        </w:tc>
      </w:tr>
      <w:tr>
        <w:trPr>
          <w:trHeight w:val="212"/>
        </w:trPr>
        <w:tc>
          <w:tcPr>
            <w:tcW w:w="11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2020 </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0"/>
        </w:trPr>
        <w:tc>
          <w:tcPr>
            <w:tcW w:w="1240" w:type="dxa"/>
            <w:vAlign w:val="bottom"/>
            <w:gridSpan w:val="2"/>
          </w:tcPr>
          <w:p>
            <w:pPr>
              <w:ind w:left="20"/>
              <w:spacing w:after="0"/>
              <w:rPr>
                <w:sz w:val="20"/>
                <w:szCs w:val="20"/>
                <w:color w:val="auto"/>
              </w:rPr>
            </w:pPr>
            <w:r>
              <w:rPr>
                <w:rFonts w:ascii="Arial" w:cs="Arial" w:eastAsia="Arial" w:hAnsi="Arial"/>
                <w:sz w:val="16"/>
                <w:szCs w:val="16"/>
                <w:color w:val="auto"/>
              </w:rPr>
              <w:t>March 31, 2021</w:t>
            </w:r>
          </w:p>
        </w:tc>
        <w:tc>
          <w:tcPr>
            <w:tcW w:w="1220" w:type="dxa"/>
            <w:vAlign w:val="bottom"/>
            <w:gridSpan w:val="2"/>
          </w:tcPr>
          <w:p>
            <w:pPr>
              <w:ind w:left="20"/>
              <w:spacing w:after="0"/>
              <w:rPr>
                <w:sz w:val="20"/>
                <w:szCs w:val="20"/>
                <w:color w:val="auto"/>
              </w:rPr>
            </w:pPr>
            <w:r>
              <w:rPr>
                <w:rFonts w:ascii="Arial" w:cs="Arial" w:eastAsia="Arial" w:hAnsi="Arial"/>
                <w:sz w:val="16"/>
                <w:szCs w:val="16"/>
                <w:color w:val="auto"/>
              </w:rPr>
              <w:t>May 3, 2021</w:t>
            </w:r>
          </w:p>
        </w:tc>
        <w:tc>
          <w:tcPr>
            <w:tcW w:w="1320" w:type="dxa"/>
            <w:vAlign w:val="bottom"/>
            <w:gridSpan w:val="2"/>
          </w:tcPr>
          <w:p>
            <w:pPr>
              <w:spacing w:after="0"/>
              <w:rPr>
                <w:sz w:val="20"/>
                <w:szCs w:val="20"/>
                <w:color w:val="auto"/>
              </w:rPr>
            </w:pPr>
            <w:r>
              <w:rPr>
                <w:rFonts w:ascii="Arial" w:cs="Arial" w:eastAsia="Arial" w:hAnsi="Arial"/>
                <w:sz w:val="16"/>
                <w:szCs w:val="16"/>
                <w:color w:val="auto"/>
              </w:rPr>
              <w:t>May 17, 2021</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0.4609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0.4766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0.4750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35.63</w:t>
            </w:r>
          </w:p>
        </w:tc>
      </w:tr>
    </w:tbl>
    <w:p>
      <w:pPr>
        <w:spacing w:after="0" w:line="66"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23"/>
          <w:szCs w:val="23"/>
          <w:b w:val="1"/>
          <w:bCs w:val="1"/>
          <w:color w:val="auto"/>
          <w:vertAlign w:val="superscript"/>
        </w:rPr>
      </w:pPr>
      <w:r>
        <w:rPr>
          <w:rFonts w:ascii="Arial" w:cs="Arial" w:eastAsia="Arial" w:hAnsi="Arial"/>
          <w:sz w:val="18"/>
          <w:szCs w:val="18"/>
          <w:color w:val="auto"/>
        </w:rPr>
        <w:t>Series A, Series B, Series F and Series G distributions are paid on a semi-annual basis.</w:t>
      </w:r>
    </w:p>
    <w:p>
      <w:pPr>
        <w:spacing w:after="0" w:line="93" w:lineRule="exact"/>
        <w:rPr>
          <w:rFonts w:ascii="Arial" w:cs="Arial" w:eastAsia="Arial" w:hAnsi="Arial"/>
          <w:sz w:val="23"/>
          <w:szCs w:val="23"/>
          <w:b w:val="1"/>
          <w:bCs w:val="1"/>
          <w:color w:val="auto"/>
          <w:vertAlign w:val="superscript"/>
        </w:rPr>
      </w:pPr>
    </w:p>
    <w:p>
      <w:pPr>
        <w:ind w:left="340" w:hanging="332"/>
        <w:spacing w:after="0" w:line="227" w:lineRule="auto"/>
        <w:tabs>
          <w:tab w:leader="none" w:pos="328" w:val="left"/>
        </w:tabs>
        <w:numPr>
          <w:ilvl w:val="0"/>
          <w:numId w:val="45"/>
        </w:numPr>
        <w:rPr>
          <w:rFonts w:ascii="Arial" w:cs="Arial" w:eastAsia="Arial" w:hAnsi="Arial"/>
          <w:sz w:val="23"/>
          <w:szCs w:val="23"/>
          <w:b w:val="1"/>
          <w:bCs w:val="1"/>
          <w:color w:val="auto"/>
          <w:vertAlign w:val="superscript"/>
        </w:rPr>
      </w:pPr>
      <w:r>
        <w:rPr>
          <w:rFonts w:ascii="Arial" w:cs="Arial" w:eastAsia="Arial" w:hAnsi="Arial"/>
          <w:sz w:val="18"/>
          <w:szCs w:val="18"/>
          <w:color w:val="auto"/>
        </w:rPr>
        <w:t>Distributions for the period ended December 31, 2020 reflect distributions paid on the ETO preferred units prior to the conversion to ET preferred units, as discussed above.</w:t>
      </w:r>
    </w:p>
    <w:p>
      <w:pPr>
        <w:spacing w:after="0" w:line="148" w:lineRule="exact"/>
        <w:rPr>
          <w:sz w:val="20"/>
          <w:szCs w:val="20"/>
          <w:color w:val="auto"/>
        </w:rPr>
      </w:pPr>
    </w:p>
    <w:p>
      <w:pPr>
        <w:ind w:right="560"/>
        <w:spacing w:after="0" w:line="438" w:lineRule="auto"/>
        <w:rPr>
          <w:sz w:val="20"/>
          <w:szCs w:val="20"/>
          <w:color w:val="auto"/>
        </w:rPr>
      </w:pPr>
      <w:r>
        <w:rPr>
          <w:rFonts w:ascii="Arial" w:cs="Arial" w:eastAsia="Arial" w:hAnsi="Arial"/>
          <w:sz w:val="18"/>
          <w:szCs w:val="18"/>
          <w:color w:val="auto"/>
        </w:rPr>
        <w:t xml:space="preserve">A summary of the distribution and redemption rights associated with the ET Preferred Units is included in Note 9 in “Item 1. Financial Statements.” </w:t>
      </w:r>
      <w:r>
        <w:rPr>
          <w:rFonts w:ascii="Arial" w:cs="Arial" w:eastAsia="Arial" w:hAnsi="Arial"/>
          <w:sz w:val="18"/>
          <w:szCs w:val="18"/>
          <w:b w:val="1"/>
          <w:bCs w:val="1"/>
          <w:color w:val="auto"/>
        </w:rPr>
        <w:t>Cash Distributions Paid by Subsidiaries</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Partnership’s consolidated financial statements include Sunoco LP and USAC, both of which are publicly traded master limited partnerships, as well as other less-than-wholly-owned, consolidated joint ventures. The following sections describe cash distributions made by our publicly traded subsidiaries, Sunoco LP and USAC, both of which are required by their respective partnership agreements to distribute all cash on hand (less appropriate reserves determined by the boards of directors of their respective general partners) subsequent to the end of each quarter.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Paid by Sunoco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Sunoco LP’s units declared and/or paid by Sunoco LP subsequent to December 31, 2020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ind w:left="840"/>
              <w:spacing w:after="0"/>
              <w:rPr>
                <w:sz w:val="20"/>
                <w:szCs w:val="20"/>
                <w:color w:val="auto"/>
              </w:rPr>
            </w:pPr>
            <w:r>
              <w:rPr>
                <w:rFonts w:ascii="Arial" w:cs="Arial" w:eastAsia="Arial" w:hAnsi="Arial"/>
                <w:sz w:val="18"/>
                <w:szCs w:val="18"/>
                <w:color w:val="auto"/>
              </w:rPr>
              <w:t>Quarter Ended</w:t>
            </w:r>
          </w:p>
        </w:tc>
        <w:tc>
          <w:tcPr>
            <w:tcW w:w="2840" w:type="dxa"/>
            <w:vAlign w:val="bottom"/>
            <w:gridSpan w:val="2"/>
          </w:tcPr>
          <w:p>
            <w:pPr>
              <w:ind w:left="900"/>
              <w:spacing w:after="0"/>
              <w:rPr>
                <w:sz w:val="20"/>
                <w:szCs w:val="20"/>
                <w:color w:val="auto"/>
              </w:rPr>
            </w:pPr>
            <w:r>
              <w:rPr>
                <w:rFonts w:ascii="Arial" w:cs="Arial" w:eastAsia="Arial" w:hAnsi="Arial"/>
                <w:sz w:val="18"/>
                <w:szCs w:val="18"/>
                <w:color w:val="auto"/>
              </w:rPr>
              <w:t>Record Date</w:t>
            </w:r>
          </w:p>
        </w:tc>
        <w:tc>
          <w:tcPr>
            <w:tcW w:w="2820" w:type="dxa"/>
            <w:vAlign w:val="bottom"/>
            <w:gridSpan w:val="2"/>
          </w:tcPr>
          <w:p>
            <w:pPr>
              <w:ind w:left="840"/>
              <w:spacing w:after="0"/>
              <w:rPr>
                <w:sz w:val="20"/>
                <w:szCs w:val="20"/>
                <w:color w:val="auto"/>
              </w:rPr>
            </w:pPr>
            <w:r>
              <w:rPr>
                <w:rFonts w:ascii="Arial" w:cs="Arial" w:eastAsia="Arial" w:hAnsi="Arial"/>
                <w:sz w:val="18"/>
                <w:szCs w:val="18"/>
                <w:color w:val="auto"/>
              </w:rPr>
              <w:t>Payment Date</w:t>
            </w:r>
          </w:p>
        </w:tc>
        <w:tc>
          <w:tcPr>
            <w:tcW w:w="660" w:type="dxa"/>
            <w:vAlign w:val="bottom"/>
          </w:tcPr>
          <w:p>
            <w:pPr>
              <w:spacing w:after="0"/>
              <w:rPr>
                <w:sz w:val="20"/>
                <w:szCs w:val="20"/>
                <w:color w:val="auto"/>
              </w:rPr>
            </w:pPr>
          </w:p>
        </w:tc>
        <w:tc>
          <w:tcPr>
            <w:tcW w:w="2080" w:type="dxa"/>
            <w:vAlign w:val="bottom"/>
          </w:tcPr>
          <w:p>
            <w:pPr>
              <w:jc w:val="right"/>
              <w:ind w:right="1110"/>
              <w:spacing w:after="0"/>
              <w:rPr>
                <w:sz w:val="20"/>
                <w:szCs w:val="20"/>
                <w:color w:val="auto"/>
              </w:rPr>
            </w:pPr>
            <w:r>
              <w:rPr>
                <w:rFonts w:ascii="Arial" w:cs="Arial" w:eastAsia="Arial" w:hAnsi="Arial"/>
                <w:sz w:val="18"/>
                <w:szCs w:val="18"/>
                <w:color w:val="auto"/>
              </w:rPr>
              <w:t>Rate</w:t>
            </w: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8, 2021</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19, 2021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March 31, 2021</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May 11, 2021</w:t>
            </w:r>
          </w:p>
        </w:tc>
        <w:tc>
          <w:tcPr>
            <w:tcW w:w="2820" w:type="dxa"/>
            <w:vAlign w:val="bottom"/>
            <w:gridSpan w:val="2"/>
          </w:tcPr>
          <w:p>
            <w:pPr>
              <w:spacing w:after="0"/>
              <w:rPr>
                <w:sz w:val="20"/>
                <w:szCs w:val="20"/>
                <w:color w:val="auto"/>
              </w:rPr>
            </w:pPr>
            <w:r>
              <w:rPr>
                <w:rFonts w:ascii="Arial" w:cs="Arial" w:eastAsia="Arial" w:hAnsi="Arial"/>
                <w:sz w:val="18"/>
                <w:szCs w:val="18"/>
                <w:color w:val="auto"/>
              </w:rPr>
              <w:t>May 19, 2021</w:t>
            </w:r>
          </w:p>
        </w:tc>
        <w:tc>
          <w:tcPr>
            <w:tcW w:w="6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0.8255</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Paid by USAC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USAC’s units declared and/or paid by USAC subsequent to December 31, 2020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ind w:left="840"/>
              <w:spacing w:after="0"/>
              <w:rPr>
                <w:sz w:val="20"/>
                <w:szCs w:val="20"/>
                <w:color w:val="auto"/>
              </w:rPr>
            </w:pPr>
            <w:r>
              <w:rPr>
                <w:rFonts w:ascii="Arial" w:cs="Arial" w:eastAsia="Arial" w:hAnsi="Arial"/>
                <w:sz w:val="18"/>
                <w:szCs w:val="18"/>
                <w:color w:val="auto"/>
              </w:rPr>
              <w:t>Quarter Ended</w:t>
            </w:r>
          </w:p>
        </w:tc>
        <w:tc>
          <w:tcPr>
            <w:tcW w:w="2840" w:type="dxa"/>
            <w:vAlign w:val="bottom"/>
            <w:gridSpan w:val="2"/>
          </w:tcPr>
          <w:p>
            <w:pPr>
              <w:ind w:left="900"/>
              <w:spacing w:after="0"/>
              <w:rPr>
                <w:sz w:val="20"/>
                <w:szCs w:val="20"/>
                <w:color w:val="auto"/>
              </w:rPr>
            </w:pPr>
            <w:r>
              <w:rPr>
                <w:rFonts w:ascii="Arial" w:cs="Arial" w:eastAsia="Arial" w:hAnsi="Arial"/>
                <w:sz w:val="18"/>
                <w:szCs w:val="18"/>
                <w:color w:val="auto"/>
              </w:rPr>
              <w:t>Record Date</w:t>
            </w:r>
          </w:p>
        </w:tc>
        <w:tc>
          <w:tcPr>
            <w:tcW w:w="2820" w:type="dxa"/>
            <w:vAlign w:val="bottom"/>
            <w:gridSpan w:val="2"/>
          </w:tcPr>
          <w:p>
            <w:pPr>
              <w:ind w:left="840"/>
              <w:spacing w:after="0"/>
              <w:rPr>
                <w:sz w:val="20"/>
                <w:szCs w:val="20"/>
                <w:color w:val="auto"/>
              </w:rPr>
            </w:pPr>
            <w:r>
              <w:rPr>
                <w:rFonts w:ascii="Arial" w:cs="Arial" w:eastAsia="Arial" w:hAnsi="Arial"/>
                <w:sz w:val="18"/>
                <w:szCs w:val="18"/>
                <w:color w:val="auto"/>
              </w:rPr>
              <w:t>Payment Date</w:t>
            </w:r>
          </w:p>
        </w:tc>
        <w:tc>
          <w:tcPr>
            <w:tcW w:w="660" w:type="dxa"/>
            <w:vAlign w:val="bottom"/>
          </w:tcPr>
          <w:p>
            <w:pPr>
              <w:spacing w:after="0"/>
              <w:rPr>
                <w:sz w:val="20"/>
                <w:szCs w:val="20"/>
                <w:color w:val="auto"/>
              </w:rPr>
            </w:pPr>
          </w:p>
        </w:tc>
        <w:tc>
          <w:tcPr>
            <w:tcW w:w="2080" w:type="dxa"/>
            <w:vAlign w:val="bottom"/>
          </w:tcPr>
          <w:p>
            <w:pPr>
              <w:jc w:val="right"/>
              <w:ind w:right="1110"/>
              <w:spacing w:after="0"/>
              <w:rPr>
                <w:sz w:val="20"/>
                <w:szCs w:val="20"/>
                <w:color w:val="auto"/>
              </w:rPr>
            </w:pPr>
            <w:r>
              <w:rPr>
                <w:rFonts w:ascii="Arial" w:cs="Arial" w:eastAsia="Arial" w:hAnsi="Arial"/>
                <w:sz w:val="18"/>
                <w:szCs w:val="18"/>
                <w:color w:val="auto"/>
              </w:rPr>
              <w:t>Rate</w:t>
            </w: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25, 2021</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5, 2021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0.5250</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March 31, 2021</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April 26, 2021</w:t>
            </w:r>
          </w:p>
        </w:tc>
        <w:tc>
          <w:tcPr>
            <w:tcW w:w="2820" w:type="dxa"/>
            <w:vAlign w:val="bottom"/>
            <w:gridSpan w:val="2"/>
          </w:tcPr>
          <w:p>
            <w:pPr>
              <w:spacing w:after="0"/>
              <w:rPr>
                <w:sz w:val="20"/>
                <w:szCs w:val="20"/>
                <w:color w:val="auto"/>
              </w:rPr>
            </w:pPr>
            <w:r>
              <w:rPr>
                <w:rFonts w:ascii="Arial" w:cs="Arial" w:eastAsia="Arial" w:hAnsi="Arial"/>
                <w:sz w:val="18"/>
                <w:szCs w:val="18"/>
                <w:color w:val="auto"/>
              </w:rPr>
              <w:t>May 7, 2021</w:t>
            </w:r>
          </w:p>
        </w:tc>
        <w:tc>
          <w:tcPr>
            <w:tcW w:w="6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0.5250</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selection and application of accounting policies is an important process that has developed as our business activities have evolved and as the accounting rules have developed. Accounting rules generally do not involve a selection among alternatives, but involve an implementation and interpretation of existing rules, and the use of judgment applied to the specific set of circumstances existing in our business. We make every effort to properly comply with all applicable rules, and we believe the proper implementation and consistent application of the accounting rules are critical. We describe our significant accounting policies in Note 2 to our consolidated financial statements in the Partnership’s Annual Report on Form 10-K filed with the SEC on February 19, 2021.</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there are no accounting pronouncements that have been issued, but not yet adopted, that are expected to have a material impact on the Partnership’s financial position or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contains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quarterly report,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w:t>
      </w:r>
    </w:p>
    <w:p>
      <w:pPr>
        <w:spacing w:after="0" w:line="73"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the volumes transported on our pipelines and gathering systems;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the level of throughput in our processing and treating facilities;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the fees we charge and the margins they realize for their gathering, treating, processing, storage and transportation services;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the prices and market demand for, and the relationship between, natural gas and NGLs;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energy prices generally;</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impacts of world health events, including the COVID-19 pandemic;</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the prices of natural gas and NGLs compared to the price of alternative and competing fuels;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the general level of petroleum product demand and the availability and price of NGL supplies;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the level of domestic oil, natural gas, and NGL production;</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the availability of imported oil, natural gas and NGLs;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actions taken by foreign oil and gas producing nations;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the political and economic stability of petroleum producing nations;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the effect of weather conditions on demand for oil, natural gas and NGLs;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availability of local, intrastate and interstate transportation systems;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the continued ability to find and contract for new sources of natural gas supply;</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availability and marketing of competitive fuels;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the impact of energy conservation efforts;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energy efficiencies and technological trends;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governmental regulation and taxation;</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changes to, and the application of, regulation of tariff rates and operational requirements related to our interstate and intrastate pipelines;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hazards or operating risks incidental to the gathering, treating, processing and transporting of natural gas and NGLs;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competition from other midstream companies and interstate pipeline companies;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loss of key personnel;</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loss of key natural gas producers or the providers of fractionation services;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reductions in the capacity or allocations of third-party pipelines that connect with our pipelines and facilities;</w:t>
      </w:r>
    </w:p>
    <w:p>
      <w:pPr>
        <w:spacing w:after="0" w:line="117" w:lineRule="exact"/>
        <w:rPr>
          <w:rFonts w:ascii="Arial" w:cs="Arial" w:eastAsia="Arial" w:hAnsi="Arial"/>
          <w:sz w:val="18"/>
          <w:szCs w:val="18"/>
          <w:color w:val="212529"/>
        </w:rPr>
      </w:pPr>
    </w:p>
    <w:p>
      <w:pPr>
        <w:ind w:left="340" w:hanging="332"/>
        <w:spacing w:after="0" w:line="277" w:lineRule="auto"/>
        <w:tabs>
          <w:tab w:leader="none" w:pos="335" w:val="left"/>
        </w:tabs>
        <w:numPr>
          <w:ilvl w:val="0"/>
          <w:numId w:val="46"/>
        </w:numPr>
        <w:rPr>
          <w:rFonts w:ascii="Arial" w:cs="Arial" w:eastAsia="Arial" w:hAnsi="Arial"/>
          <w:sz w:val="18"/>
          <w:szCs w:val="18"/>
          <w:color w:val="212529"/>
        </w:rPr>
      </w:pPr>
      <w:r>
        <w:rPr>
          <w:rFonts w:ascii="Arial" w:cs="Arial" w:eastAsia="Arial" w:hAnsi="Arial"/>
          <w:sz w:val="18"/>
          <w:szCs w:val="18"/>
          <w:color w:val="212529"/>
        </w:rPr>
        <w:t>the effectiveness of risk-management policies and procedures and the ability of our liquids marketing counterparties to satisfy their financial commitments;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color w:val="212529"/>
        </w:rPr>
      </w:pPr>
      <w:r>
        <w:rPr>
          <w:rFonts w:ascii="Arial" w:cs="Arial" w:eastAsia="Arial" w:hAnsi="Arial"/>
          <w:sz w:val="18"/>
          <w:szCs w:val="18"/>
          <w:color w:val="212529"/>
        </w:rPr>
        <w:t>the nonpayment or nonperformance by our customers;</w:t>
      </w:r>
    </w:p>
    <w:p>
      <w:pPr>
        <w:spacing w:after="0" w:line="117" w:lineRule="exact"/>
        <w:rPr>
          <w:rFonts w:ascii="Arial" w:cs="Arial" w:eastAsia="Arial" w:hAnsi="Arial"/>
          <w:sz w:val="18"/>
          <w:szCs w:val="18"/>
          <w:color w:val="212529"/>
        </w:rPr>
      </w:pPr>
    </w:p>
    <w:p>
      <w:pPr>
        <w:ind w:left="340" w:hanging="332"/>
        <w:spacing w:after="0" w:line="277" w:lineRule="auto"/>
        <w:tabs>
          <w:tab w:leader="none" w:pos="335" w:val="left"/>
        </w:tabs>
        <w:numPr>
          <w:ilvl w:val="0"/>
          <w:numId w:val="47"/>
        </w:numPr>
        <w:rPr>
          <w:rFonts w:ascii="Arial" w:cs="Arial" w:eastAsia="Arial" w:hAnsi="Arial"/>
          <w:sz w:val="18"/>
          <w:szCs w:val="18"/>
          <w:color w:val="212529"/>
        </w:rPr>
      </w:pPr>
      <w:r>
        <w:rPr>
          <w:rFonts w:ascii="Arial" w:cs="Arial" w:eastAsia="Arial" w:hAnsi="Arial"/>
          <w:sz w:val="18"/>
          <w:szCs w:val="18"/>
          <w:color w:val="212529"/>
        </w:rPr>
        <w:t>regulatory, environmental, political and legal uncertainties that may affect the timing and cost of our internal growth projects, such as our construction of additional pipeline systems;</w:t>
      </w:r>
    </w:p>
    <w:p>
      <w:pPr>
        <w:spacing w:after="0" w:line="62" w:lineRule="exact"/>
        <w:rPr>
          <w:rFonts w:ascii="Arial" w:cs="Arial" w:eastAsia="Arial" w:hAnsi="Arial"/>
          <w:sz w:val="18"/>
          <w:szCs w:val="18"/>
          <w:color w:val="212529"/>
        </w:rPr>
      </w:pPr>
    </w:p>
    <w:p>
      <w:pPr>
        <w:ind w:left="340" w:hanging="332"/>
        <w:spacing w:after="0" w:line="308" w:lineRule="auto"/>
        <w:tabs>
          <w:tab w:leader="none" w:pos="335" w:val="left"/>
        </w:tabs>
        <w:numPr>
          <w:ilvl w:val="0"/>
          <w:numId w:val="47"/>
        </w:numPr>
        <w:rPr>
          <w:rFonts w:ascii="Arial" w:cs="Arial" w:eastAsia="Arial" w:hAnsi="Arial"/>
          <w:sz w:val="17"/>
          <w:szCs w:val="17"/>
          <w:color w:val="212529"/>
        </w:rPr>
      </w:pPr>
      <w:r>
        <w:rPr>
          <w:rFonts w:ascii="Arial" w:cs="Arial" w:eastAsia="Arial" w:hAnsi="Arial"/>
          <w:sz w:val="17"/>
          <w:szCs w:val="17"/>
          <w:color w:val="212529"/>
        </w:rPr>
        <w:t>risks associated with the construction of new pipelines and treating and processing facilities or additions to our existing pipelines and facilities, including difficulties in obtaining permits and rights-of-way or other regulatory approvals and the performance by third-party contractors;</w:t>
      </w:r>
    </w:p>
    <w:p>
      <w:pPr>
        <w:spacing w:after="0" w:line="38" w:lineRule="exact"/>
        <w:rPr>
          <w:rFonts w:ascii="Arial" w:cs="Arial" w:eastAsia="Arial" w:hAnsi="Arial"/>
          <w:sz w:val="17"/>
          <w:szCs w:val="17"/>
          <w:color w:val="212529"/>
        </w:rPr>
      </w:pPr>
    </w:p>
    <w:p>
      <w:pPr>
        <w:ind w:left="320" w:hanging="312"/>
        <w:spacing w:after="0"/>
        <w:tabs>
          <w:tab w:leader="none" w:pos="320" w:val="left"/>
        </w:tabs>
        <w:numPr>
          <w:ilvl w:val="0"/>
          <w:numId w:val="47"/>
        </w:numPr>
        <w:rPr>
          <w:rFonts w:ascii="Arial" w:cs="Arial" w:eastAsia="Arial" w:hAnsi="Arial"/>
          <w:sz w:val="18"/>
          <w:szCs w:val="18"/>
          <w:color w:val="212529"/>
        </w:rPr>
      </w:pPr>
      <w:r>
        <w:rPr>
          <w:rFonts w:ascii="Arial" w:cs="Arial" w:eastAsia="Arial" w:hAnsi="Arial"/>
          <w:sz w:val="18"/>
          <w:szCs w:val="18"/>
          <w:color w:val="212529"/>
        </w:rPr>
        <w:t>the availability and cost of capital and our ability to access certain capital sources;</w:t>
      </w:r>
    </w:p>
    <w:p>
      <w:pPr>
        <w:spacing w:after="0" w:line="117" w:lineRule="exact"/>
        <w:rPr>
          <w:rFonts w:ascii="Arial" w:cs="Arial" w:eastAsia="Arial" w:hAnsi="Arial"/>
          <w:sz w:val="18"/>
          <w:szCs w:val="18"/>
          <w:color w:val="212529"/>
        </w:rPr>
      </w:pPr>
    </w:p>
    <w:p>
      <w:pPr>
        <w:ind w:left="320" w:hanging="312"/>
        <w:spacing w:after="0"/>
        <w:tabs>
          <w:tab w:leader="none" w:pos="320" w:val="left"/>
        </w:tabs>
        <w:numPr>
          <w:ilvl w:val="0"/>
          <w:numId w:val="47"/>
        </w:numPr>
        <w:rPr>
          <w:rFonts w:ascii="Arial" w:cs="Arial" w:eastAsia="Arial" w:hAnsi="Arial"/>
          <w:sz w:val="18"/>
          <w:szCs w:val="18"/>
          <w:color w:val="212529"/>
        </w:rPr>
      </w:pPr>
      <w:r>
        <w:rPr>
          <w:rFonts w:ascii="Arial" w:cs="Arial" w:eastAsia="Arial" w:hAnsi="Arial"/>
          <w:sz w:val="18"/>
          <w:szCs w:val="18"/>
          <w:color w:val="212529"/>
        </w:rPr>
        <w:t>a deterioration of the credit and capital markets;</w:t>
      </w:r>
    </w:p>
    <w:p>
      <w:pPr>
        <w:spacing w:after="0" w:line="117" w:lineRule="exact"/>
        <w:rPr>
          <w:rFonts w:ascii="Arial" w:cs="Arial" w:eastAsia="Arial" w:hAnsi="Arial"/>
          <w:sz w:val="18"/>
          <w:szCs w:val="18"/>
          <w:color w:val="212529"/>
        </w:rPr>
      </w:pPr>
    </w:p>
    <w:p>
      <w:pPr>
        <w:ind w:left="340" w:right="20" w:hanging="332"/>
        <w:spacing w:after="0" w:line="277" w:lineRule="auto"/>
        <w:tabs>
          <w:tab w:leader="none" w:pos="335" w:val="left"/>
        </w:tabs>
        <w:numPr>
          <w:ilvl w:val="0"/>
          <w:numId w:val="47"/>
        </w:numPr>
        <w:rPr>
          <w:rFonts w:ascii="Arial" w:cs="Arial" w:eastAsia="Arial" w:hAnsi="Arial"/>
          <w:sz w:val="18"/>
          <w:szCs w:val="18"/>
          <w:color w:val="212529"/>
        </w:rPr>
      </w:pPr>
      <w:r>
        <w:rPr>
          <w:rFonts w:ascii="Arial" w:cs="Arial" w:eastAsia="Arial" w:hAnsi="Arial"/>
          <w:sz w:val="18"/>
          <w:szCs w:val="18"/>
          <w:color w:val="212529"/>
        </w:rPr>
        <w:t>risks associated with the assets and operations of entities in which we own less than a controlling interests, including risks related to management actions at such entities that we may not be able to control or exert influence;</w:t>
      </w:r>
    </w:p>
    <w:p>
      <w:pPr>
        <w:spacing w:after="0" w:line="62" w:lineRule="exact"/>
        <w:rPr>
          <w:rFonts w:ascii="Arial" w:cs="Arial" w:eastAsia="Arial" w:hAnsi="Arial"/>
          <w:sz w:val="18"/>
          <w:szCs w:val="18"/>
          <w:color w:val="212529"/>
        </w:rPr>
      </w:pPr>
    </w:p>
    <w:p>
      <w:pPr>
        <w:ind w:left="340" w:hanging="332"/>
        <w:spacing w:after="0" w:line="277" w:lineRule="auto"/>
        <w:tabs>
          <w:tab w:leader="none" w:pos="335" w:val="left"/>
        </w:tabs>
        <w:numPr>
          <w:ilvl w:val="0"/>
          <w:numId w:val="47"/>
        </w:numPr>
        <w:rPr>
          <w:rFonts w:ascii="Arial" w:cs="Arial" w:eastAsia="Arial" w:hAnsi="Arial"/>
          <w:sz w:val="18"/>
          <w:szCs w:val="18"/>
          <w:color w:val="212529"/>
        </w:rPr>
      </w:pPr>
      <w:r>
        <w:rPr>
          <w:rFonts w:ascii="Arial" w:cs="Arial" w:eastAsia="Arial" w:hAnsi="Arial"/>
          <w:sz w:val="18"/>
          <w:szCs w:val="18"/>
          <w:color w:val="212529"/>
        </w:rPr>
        <w:t>the ability to successfully identify and consummate strategic acquisitions at purchase prices that are accretive to our financial results and to successfully integrate acquired businesses;</w:t>
      </w:r>
    </w:p>
    <w:p>
      <w:pPr>
        <w:spacing w:after="0" w:line="62" w:lineRule="exact"/>
        <w:rPr>
          <w:rFonts w:ascii="Arial" w:cs="Arial" w:eastAsia="Arial" w:hAnsi="Arial"/>
          <w:sz w:val="18"/>
          <w:szCs w:val="18"/>
          <w:color w:val="212529"/>
        </w:rPr>
      </w:pPr>
    </w:p>
    <w:p>
      <w:pPr>
        <w:ind w:left="340" w:hanging="332"/>
        <w:spacing w:after="0" w:line="277" w:lineRule="auto"/>
        <w:tabs>
          <w:tab w:leader="none" w:pos="335" w:val="left"/>
        </w:tabs>
        <w:numPr>
          <w:ilvl w:val="0"/>
          <w:numId w:val="47"/>
        </w:numPr>
        <w:rPr>
          <w:rFonts w:ascii="Arial" w:cs="Arial" w:eastAsia="Arial" w:hAnsi="Arial"/>
          <w:sz w:val="18"/>
          <w:szCs w:val="18"/>
          <w:color w:val="212529"/>
        </w:rPr>
      </w:pPr>
      <w:r>
        <w:rPr>
          <w:rFonts w:ascii="Arial" w:cs="Arial" w:eastAsia="Arial" w:hAnsi="Arial"/>
          <w:sz w:val="18"/>
          <w:szCs w:val="18"/>
          <w:color w:val="212529"/>
        </w:rPr>
        <w:t>changes in laws and regulations to which we are subject, including tax, environmental, transportation and employment regulations or new interpretations by regulatory agencies concerning such laws and regulations;</w:t>
      </w:r>
    </w:p>
    <w:p>
      <w:pPr>
        <w:spacing w:after="0" w:line="62" w:lineRule="exact"/>
        <w:rPr>
          <w:rFonts w:ascii="Arial" w:cs="Arial" w:eastAsia="Arial" w:hAnsi="Arial"/>
          <w:sz w:val="18"/>
          <w:szCs w:val="18"/>
          <w:color w:val="212529"/>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costs and </w:t>
      </w:r>
      <w:r>
        <w:rPr>
          <w:rFonts w:ascii="Arial" w:cs="Arial" w:eastAsia="Arial" w:hAnsi="Arial"/>
          <w:sz w:val="18"/>
          <w:szCs w:val="18"/>
          <w:color w:val="212529"/>
        </w:rPr>
        <w:t>effects</w:t>
      </w:r>
      <w:r>
        <w:rPr>
          <w:rFonts w:ascii="Arial" w:cs="Arial" w:eastAsia="Arial" w:hAnsi="Arial"/>
          <w:sz w:val="18"/>
          <w:szCs w:val="18"/>
          <w:color w:val="auto"/>
        </w:rPr>
        <w:t xml:space="preserve"> of legal and administrative proceedings;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risks associated with a potential failure to successfully combine our business with that of Enable.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not put undue reliance on any forward-looking statements. When considering forward-looking statements, please review the risks described under “Part I - Item 1A. Risk Factors” in our Annual Report on Form 10-K for the year ended December 31, 2020. Any forward-looking statement made by us in this Quarterly Report on Form 10-Q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contained in Item 3 updates, and should be read in conjunction with, information set forth in Part II - Item 7A included in the Partnership’s Annual Report on Form 10-K for the year ended December 31, 2020 filed with the SEC on February 19, 2021, in addition to the accompanying notes and management’s discussion and analysis of financial condition and results of operations presented in Items 1 and 2 of this Quarterly Report on Form 10-Q. Our quantitative and qualitative disclosures about market risk are consistent with those discussed in our Annual Report on Form 10-K for the year ended December 31, 2020. Since December 31, 2020, there have been no material changes to our primary market risk exposures or how those exposures are managed.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summarizes our commodity-related financial derivative instruments and fair values, including derivatives related to our consolidated subsidiaries, as well as the effect of an assumed hypothetical 10% change in the underlying price of the commodity. Dollar amounts are presented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color w:val="auto"/>
                <w:w w:val="91"/>
              </w:rPr>
              <w:t>March 31, 2021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December 31, 2020</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vMerge w:val="restart"/>
          </w:tcPr>
          <w:p>
            <w:pPr>
              <w:jc w:val="center"/>
              <w:ind w:right="240"/>
              <w:spacing w:after="0"/>
              <w:rPr>
                <w:sz w:val="20"/>
                <w:szCs w:val="20"/>
                <w:color w:val="auto"/>
              </w:rPr>
            </w:pPr>
            <w:r>
              <w:rPr>
                <w:rFonts w:ascii="Arial" w:cs="Arial" w:eastAsia="Arial" w:hAnsi="Arial"/>
                <w:sz w:val="16"/>
                <w:szCs w:val="16"/>
                <w:color w:val="auto"/>
                <w:w w:val="91"/>
              </w:rPr>
              <w:t>Fair Value Asset</w:t>
            </w:r>
          </w:p>
        </w:tc>
        <w:tc>
          <w:tcPr>
            <w:tcW w:w="1180" w:type="dxa"/>
            <w:vAlign w:val="bottom"/>
            <w:gridSpan w:val="2"/>
          </w:tcPr>
          <w:p>
            <w:pPr>
              <w:jc w:val="center"/>
              <w:ind w:right="260"/>
              <w:spacing w:after="0" w:line="159" w:lineRule="exact"/>
              <w:rPr>
                <w:sz w:val="20"/>
                <w:szCs w:val="20"/>
                <w:color w:val="auto"/>
              </w:rPr>
            </w:pPr>
            <w:r>
              <w:rPr>
                <w:rFonts w:ascii="Arial" w:cs="Arial" w:eastAsia="Arial" w:hAnsi="Arial"/>
                <w:sz w:val="16"/>
                <w:szCs w:val="16"/>
                <w:color w:val="auto"/>
                <w:w w:val="95"/>
              </w:rPr>
              <w:t>Effect of</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vMerge w:val="restart"/>
          </w:tcPr>
          <w:p>
            <w:pPr>
              <w:jc w:val="center"/>
              <w:ind w:right="120"/>
              <w:spacing w:after="0"/>
              <w:rPr>
                <w:sz w:val="20"/>
                <w:szCs w:val="20"/>
                <w:color w:val="auto"/>
              </w:rPr>
            </w:pPr>
            <w:r>
              <w:rPr>
                <w:rFonts w:ascii="Arial" w:cs="Arial" w:eastAsia="Arial" w:hAnsi="Arial"/>
                <w:sz w:val="16"/>
                <w:szCs w:val="16"/>
                <w:color w:val="auto"/>
                <w:w w:val="91"/>
              </w:rPr>
              <w:t>Fair Value Asset</w:t>
            </w:r>
          </w:p>
        </w:tc>
        <w:tc>
          <w:tcPr>
            <w:tcW w:w="120" w:type="dxa"/>
            <w:vAlign w:val="bottom"/>
          </w:tcPr>
          <w:p>
            <w:pPr>
              <w:spacing w:after="0"/>
              <w:rPr>
                <w:sz w:val="13"/>
                <w:szCs w:val="13"/>
                <w:color w:val="auto"/>
              </w:rPr>
            </w:pPr>
          </w:p>
        </w:tc>
        <w:tc>
          <w:tcPr>
            <w:tcW w:w="1060" w:type="dxa"/>
            <w:vAlign w:val="bottom"/>
          </w:tcPr>
          <w:p>
            <w:pPr>
              <w:jc w:val="right"/>
              <w:ind w:right="232"/>
              <w:spacing w:after="0" w:line="159" w:lineRule="exact"/>
              <w:rPr>
                <w:sz w:val="20"/>
                <w:szCs w:val="20"/>
                <w:color w:val="auto"/>
              </w:rPr>
            </w:pPr>
            <w:r>
              <w:rPr>
                <w:rFonts w:ascii="Arial" w:cs="Arial" w:eastAsia="Arial" w:hAnsi="Arial"/>
                <w:sz w:val="16"/>
                <w:szCs w:val="16"/>
                <w:color w:val="auto"/>
              </w:rPr>
              <w:t>Effect of</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color w:val="auto"/>
              </w:rPr>
              <w:t>Notional Volume</w:t>
            </w:r>
          </w:p>
        </w:tc>
        <w:tc>
          <w:tcPr>
            <w:tcW w:w="1440" w:type="dxa"/>
            <w:vAlign w:val="bottom"/>
            <w:gridSpan w:val="4"/>
            <w:vMerge w:val="continue"/>
          </w:tcPr>
          <w:p>
            <w:pPr>
              <w:spacing w:after="0"/>
              <w:rPr>
                <w:sz w:val="14"/>
                <w:szCs w:val="14"/>
                <w:color w:val="auto"/>
              </w:rPr>
            </w:pPr>
          </w:p>
        </w:tc>
        <w:tc>
          <w:tcPr>
            <w:tcW w:w="118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5"/>
              </w:rPr>
              <w:t>Hypothetical</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w w:val="95"/>
              </w:rPr>
              <w:t>Notional Volume</w:t>
            </w:r>
          </w:p>
        </w:tc>
        <w:tc>
          <w:tcPr>
            <w:tcW w:w="10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2"/>
              <w:spacing w:after="0" w:line="162" w:lineRule="exact"/>
              <w:rPr>
                <w:sz w:val="20"/>
                <w:szCs w:val="20"/>
                <w:color w:val="auto"/>
              </w:rPr>
            </w:pPr>
            <w:r>
              <w:rPr>
                <w:rFonts w:ascii="Arial" w:cs="Arial" w:eastAsia="Arial" w:hAnsi="Arial"/>
                <w:sz w:val="16"/>
                <w:szCs w:val="16"/>
                <w:color w:val="auto"/>
                <w:w w:val="97"/>
              </w:rPr>
              <w:t>Hypothetical</w:t>
            </w:r>
          </w:p>
        </w:tc>
        <w:tc>
          <w:tcPr>
            <w:tcW w:w="0" w:type="dxa"/>
            <w:vAlign w:val="bottom"/>
          </w:tcPr>
          <w:p>
            <w:pPr>
              <w:spacing w:after="0"/>
              <w:rPr>
                <w:sz w:val="1"/>
                <w:szCs w:val="1"/>
                <w:color w:val="auto"/>
              </w:rPr>
            </w:pPr>
          </w:p>
        </w:tc>
      </w:tr>
      <w:tr>
        <w:trPr>
          <w:trHeight w:val="206"/>
        </w:trPr>
        <w:tc>
          <w:tcPr>
            <w:tcW w:w="34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6"/>
                <w:szCs w:val="16"/>
                <w:color w:val="auto"/>
              </w:rPr>
              <w:t>(Liability)</w:t>
            </w: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10% Change</w:t>
            </w: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6"/>
                <w:szCs w:val="16"/>
                <w:color w:val="auto"/>
              </w:rPr>
              <w:t>(Liability)</w:t>
            </w:r>
          </w:p>
        </w:tc>
        <w:tc>
          <w:tcPr>
            <w:tcW w:w="120" w:type="dxa"/>
            <w:vAlign w:val="bottom"/>
          </w:tcPr>
          <w:p>
            <w:pPr>
              <w:spacing w:after="0"/>
              <w:rPr>
                <w:sz w:val="17"/>
                <w:szCs w:val="17"/>
                <w:color w:val="auto"/>
              </w:rPr>
            </w:pPr>
          </w:p>
        </w:tc>
        <w:tc>
          <w:tcPr>
            <w:tcW w:w="1060" w:type="dxa"/>
            <w:vAlign w:val="bottom"/>
          </w:tcPr>
          <w:p>
            <w:pPr>
              <w:jc w:val="right"/>
              <w:ind w:right="92"/>
              <w:spacing w:after="0"/>
              <w:rPr>
                <w:sz w:val="20"/>
                <w:szCs w:val="20"/>
                <w:color w:val="auto"/>
              </w:rPr>
            </w:pPr>
            <w:r>
              <w:rPr>
                <w:rFonts w:ascii="Arial" w:cs="Arial" w:eastAsia="Arial" w:hAnsi="Arial"/>
                <w:sz w:val="16"/>
                <w:szCs w:val="16"/>
                <w:color w:val="auto"/>
                <w:w w:val="92"/>
              </w:rPr>
              <w:t>10% Change</w:t>
            </w:r>
          </w:p>
        </w:tc>
        <w:tc>
          <w:tcPr>
            <w:tcW w:w="0" w:type="dxa"/>
            <w:vAlign w:val="bottom"/>
          </w:tcPr>
          <w:p>
            <w:pPr>
              <w:spacing w:after="0"/>
              <w:rPr>
                <w:sz w:val="1"/>
                <w:szCs w:val="1"/>
                <w:color w:val="auto"/>
              </w:rPr>
            </w:pPr>
          </w:p>
        </w:tc>
      </w:tr>
      <w:tr>
        <w:trPr>
          <w:trHeight w:val="215"/>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Mark-to-Market Derivatives</w:t>
            </w: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i w:val="1"/>
                <w:iCs w:val="1"/>
                <w:color w:val="auto"/>
              </w:rPr>
              <w:t>(Trading)</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Basis Swaps IFERC/NYMEX </w:t>
            </w:r>
            <w:r>
              <w:rPr>
                <w:rFonts w:ascii="Arial" w:cs="Arial" w:eastAsia="Arial" w:hAnsi="Arial"/>
                <w:sz w:val="23"/>
                <w:szCs w:val="23"/>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rPr>
                <w:sz w:val="20"/>
                <w:szCs w:val="20"/>
                <w:color w:val="auto"/>
              </w:rPr>
            </w:pPr>
            <w:r>
              <w:rPr>
                <w:rFonts w:ascii="Arial" w:cs="Arial" w:eastAsia="Arial" w:hAnsi="Arial"/>
                <w:sz w:val="18"/>
                <w:szCs w:val="18"/>
                <w:color w:val="auto"/>
              </w:rPr>
              <w:t>Fixed Swaps/Futures</w:t>
            </w:r>
          </w:p>
        </w:tc>
        <w:tc>
          <w:tcPr>
            <w:tcW w:w="118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 (Megawatt):</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rPr>
                <w:sz w:val="20"/>
                <w:szCs w:val="20"/>
                <w:color w:val="auto"/>
              </w:rPr>
            </w:pPr>
            <w:r>
              <w:rPr>
                <w:rFonts w:ascii="Arial" w:cs="Arial" w:eastAsia="Arial" w:hAnsi="Arial"/>
                <w:sz w:val="18"/>
                <w:szCs w:val="18"/>
                <w:color w:val="auto"/>
              </w:rPr>
              <w:t>Forwards</w:t>
            </w:r>
          </w:p>
        </w:tc>
        <w:tc>
          <w:tcPr>
            <w:tcW w:w="1180" w:type="dxa"/>
            <w:vAlign w:val="bottom"/>
          </w:tcPr>
          <w:p>
            <w:pPr>
              <w:jc w:val="right"/>
              <w:spacing w:after="0"/>
              <w:rPr>
                <w:sz w:val="20"/>
                <w:szCs w:val="20"/>
                <w:color w:val="auto"/>
              </w:rPr>
            </w:pPr>
            <w:r>
              <w:rPr>
                <w:rFonts w:ascii="Arial" w:cs="Arial" w:eastAsia="Arial" w:hAnsi="Arial"/>
                <w:sz w:val="18"/>
                <w:szCs w:val="18"/>
                <w:color w:val="auto"/>
              </w:rPr>
              <w:t>408,800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1,392,400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Futures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color w:val="auto"/>
              </w:rPr>
              <w:t>Options – Puts</w:t>
            </w:r>
          </w:p>
        </w:tc>
        <w:tc>
          <w:tcPr>
            <w:tcW w:w="1180" w:type="dxa"/>
            <w:vAlign w:val="bottom"/>
          </w:tcPr>
          <w:p>
            <w:pPr>
              <w:jc w:val="right"/>
              <w:spacing w:after="0"/>
              <w:rPr>
                <w:sz w:val="20"/>
                <w:szCs w:val="20"/>
                <w:color w:val="auto"/>
              </w:rPr>
            </w:pPr>
            <w:r>
              <w:rPr>
                <w:rFonts w:ascii="Arial" w:cs="Arial" w:eastAsia="Arial" w:hAnsi="Arial"/>
                <w:sz w:val="18"/>
                <w:szCs w:val="18"/>
                <w:color w:val="auto"/>
              </w:rPr>
              <w:t>174,398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519,071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 Calls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i w:val="1"/>
                <w:iCs w:val="1"/>
                <w:color w:val="auto"/>
              </w:rPr>
              <w:t>(Non-Trading)</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rPr>
                <w:sz w:val="20"/>
                <w:szCs w:val="20"/>
                <w:color w:val="auto"/>
              </w:rPr>
            </w:pPr>
            <w:r>
              <w:rPr>
                <w:rFonts w:ascii="Arial" w:cs="Arial" w:eastAsia="Arial" w:hAnsi="Arial"/>
                <w:sz w:val="18"/>
                <w:szCs w:val="18"/>
                <w:color w:val="auto"/>
              </w:rPr>
              <w:t>Basis Swaps IFERC/NYMEX</w:t>
            </w:r>
          </w:p>
        </w:tc>
        <w:tc>
          <w:tcPr>
            <w:tcW w:w="1180" w:type="dxa"/>
            <w:vAlign w:val="bottom"/>
          </w:tcPr>
          <w:p>
            <w:pPr>
              <w:jc w:val="right"/>
              <w:spacing w:after="0"/>
              <w:rPr>
                <w:sz w:val="20"/>
                <w:szCs w:val="20"/>
                <w:color w:val="auto"/>
              </w:rPr>
            </w:pPr>
            <w:r>
              <w:rPr>
                <w:rFonts w:ascii="Arial" w:cs="Arial" w:eastAsia="Arial" w:hAnsi="Arial"/>
                <w:sz w:val="18"/>
                <w:szCs w:val="18"/>
                <w:color w:val="auto"/>
              </w:rPr>
              <w:t>(25,610)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Swing Swaps IFERC</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rPr>
                <w:sz w:val="20"/>
                <w:szCs w:val="20"/>
                <w:color w:val="auto"/>
              </w:rPr>
            </w:pPr>
            <w:r>
              <w:rPr>
                <w:rFonts w:ascii="Arial" w:cs="Arial" w:eastAsia="Arial" w:hAnsi="Arial"/>
                <w:sz w:val="18"/>
                <w:szCs w:val="18"/>
                <w:color w:val="auto"/>
              </w:rPr>
              <w:t>Fixed Swaps/Futures</w:t>
            </w:r>
          </w:p>
        </w:tc>
        <w:tc>
          <w:tcPr>
            <w:tcW w:w="1180" w:type="dxa"/>
            <w:vAlign w:val="bottom"/>
          </w:tcPr>
          <w:p>
            <w:pPr>
              <w:jc w:val="right"/>
              <w:spacing w:after="0"/>
              <w:rPr>
                <w:sz w:val="20"/>
                <w:szCs w:val="20"/>
                <w:color w:val="auto"/>
              </w:rPr>
            </w:pPr>
            <w:r>
              <w:rPr>
                <w:rFonts w:ascii="Arial" w:cs="Arial" w:eastAsia="Arial" w:hAnsi="Arial"/>
                <w:sz w:val="18"/>
                <w:szCs w:val="18"/>
                <w:color w:val="auto"/>
              </w:rPr>
              <w:t>(18,425)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(53,575)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 Physical Contracts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NGLs (MBbls) – Forwards/Swaps</w:t>
            </w:r>
          </w:p>
        </w:tc>
        <w:tc>
          <w:tcPr>
            <w:tcW w:w="118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(MBbls) – Futures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Crude (MBbls) – Forwards/Swaps</w:t>
            </w:r>
          </w:p>
        </w:tc>
        <w:tc>
          <w:tcPr>
            <w:tcW w:w="118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Hedging Derivatives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i w:val="1"/>
                <w:iCs w:val="1"/>
                <w:color w:val="auto"/>
              </w:rPr>
              <w:t>(Non-Trading)</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rPr>
                <w:sz w:val="20"/>
                <w:szCs w:val="20"/>
                <w:color w:val="auto"/>
              </w:rPr>
            </w:pPr>
            <w:r>
              <w:rPr>
                <w:rFonts w:ascii="Arial" w:cs="Arial" w:eastAsia="Arial" w:hAnsi="Arial"/>
                <w:sz w:val="18"/>
                <w:szCs w:val="18"/>
                <w:color w:val="auto"/>
              </w:rPr>
              <w:t>Basis Swaps IFERC/NYMEX</w:t>
            </w:r>
          </w:p>
        </w:tc>
        <w:tc>
          <w:tcPr>
            <w:tcW w:w="1180" w:type="dxa"/>
            <w:vAlign w:val="bottom"/>
          </w:tcPr>
          <w:p>
            <w:pPr>
              <w:jc w:val="right"/>
              <w:spacing w:after="0"/>
              <w:rPr>
                <w:sz w:val="20"/>
                <w:szCs w:val="20"/>
                <w:color w:val="auto"/>
              </w:rPr>
            </w:pPr>
            <w:r>
              <w:rPr>
                <w:rFonts w:ascii="Arial" w:cs="Arial" w:eastAsia="Arial" w:hAnsi="Arial"/>
                <w:sz w:val="18"/>
                <w:szCs w:val="18"/>
                <w:color w:val="auto"/>
              </w:rPr>
              <w:t>(14,068)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Swaps/Futures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hanging="332"/>
        <w:spacing w:after="0" w:line="227" w:lineRule="auto"/>
        <w:tabs>
          <w:tab w:leader="none" w:pos="328"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Includes aggregate amounts for open positions related to Houston Ship Channel, Waha Hub, NGPL TexOk, West Louisiana Zone and Henry Hub locations.</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the commodity-related financial positions have been determined using independent third-party prices, readily available market information and appropriate valuation techniques. Non-trading positions offset physical exposures to the cash market; none of these offsetting physical exposures are included in the above tables. Price-risk sensitivities were calculated by assuming a theoretical 10% change (increase or decrease) in price regardless of term or historical relationships between the contractual price of the instruments and the underlying commodity price. Results are presented in absolute terms and represent a potential gain or loss in net income or in other comprehensive income. In the event of an actual 10% change in prompt month natural gas prices, the fair value of our total derivative portfolio may not change by 10% due to factors such as when the financial instrument settles and the location to which the financial instrument is tied (i.e., basis swaps) and the relationship between prompt month and forward months.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2021, we and our subsidiaries had $4.84 billion of floating rate debt outstanding. A hypothetical change of 100 basis points would result in a maximum potential change to interest expense of $48 million annually; however, our actual change in interest expense may be less in a given period due to interest rate floors included in our variable rate debt instruments. We manage a portion of our interest rate exposure by utilizing interest rate swaps, including forward-starting interest rate swaps to lock-in the rate on a portion of anticipated debt issuances.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interest rate swaps outstanding (dollars in millions), none of which are designated as hedges for accounting purposes: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color w:val="auto"/>
              </w:rPr>
              <w:t>Notional Amount Outstanding</w:t>
            </w:r>
          </w:p>
        </w:tc>
        <w:tc>
          <w:tcPr>
            <w:tcW w:w="0" w:type="dxa"/>
            <w:vAlign w:val="bottom"/>
          </w:tcPr>
          <w:p>
            <w:pPr>
              <w:spacing w:after="0"/>
              <w:rPr>
                <w:sz w:val="1"/>
                <w:szCs w:val="1"/>
                <w:color w:val="auto"/>
              </w:rPr>
            </w:pPr>
          </w:p>
        </w:tc>
      </w:tr>
      <w:tr>
        <w:trPr>
          <w:trHeight w:val="183"/>
        </w:trPr>
        <w:tc>
          <w:tcPr>
            <w:tcW w:w="1880" w:type="dxa"/>
            <w:vAlign w:val="bottom"/>
            <w:gridSpan w:val="2"/>
            <w:vMerge w:val="restart"/>
          </w:tcPr>
          <w:p>
            <w:pPr>
              <w:ind w:left="20"/>
              <w:spacing w:after="0"/>
              <w:rPr>
                <w:sz w:val="20"/>
                <w:szCs w:val="20"/>
                <w:color w:val="auto"/>
              </w:rPr>
            </w:pPr>
            <w:r>
              <w:rPr>
                <w:rFonts w:ascii="Arial" w:cs="Arial" w:eastAsia="Arial" w:hAnsi="Arial"/>
                <w:sz w:val="18"/>
                <w:szCs w:val="18"/>
                <w:color w:val="auto"/>
              </w:rPr>
              <w:t>Term</w:t>
            </w:r>
          </w:p>
        </w:tc>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Type</w:t>
            </w:r>
            <w:r>
              <w:rPr>
                <w:rFonts w:ascii="Arial" w:cs="Arial" w:eastAsia="Arial" w:hAnsi="Arial"/>
                <w:sz w:val="23"/>
                <w:szCs w:val="23"/>
                <w:color w:val="auto"/>
                <w:vertAlign w:val="superscript"/>
              </w:rPr>
              <w:t>(1)</w:t>
            </w:r>
          </w:p>
        </w:tc>
        <w:tc>
          <w:tcPr>
            <w:tcW w:w="1100" w:type="dxa"/>
            <w:vAlign w:val="bottom"/>
          </w:tcPr>
          <w:p>
            <w:pPr>
              <w:jc w:val="center"/>
              <w:ind w:left="270"/>
              <w:spacing w:after="0" w:line="182" w:lineRule="exact"/>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29"/>
        </w:trPr>
        <w:tc>
          <w:tcPr>
            <w:tcW w:w="1880" w:type="dxa"/>
            <w:vAlign w:val="bottom"/>
            <w:gridSpan w:val="2"/>
            <w:vMerge w:val="continue"/>
          </w:tcPr>
          <w:p>
            <w:pPr>
              <w:spacing w:after="0"/>
              <w:rPr>
                <w:sz w:val="19"/>
                <w:szCs w:val="19"/>
                <w:color w:val="auto"/>
              </w:rPr>
            </w:pPr>
          </w:p>
        </w:tc>
        <w:tc>
          <w:tcPr>
            <w:tcW w:w="6340" w:type="dxa"/>
            <w:vAlign w:val="bottom"/>
            <w:gridSpan w:val="2"/>
            <w:vMerge w:val="continue"/>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176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July 2021</w:t>
            </w:r>
            <w:r>
              <w:rPr>
                <w:rFonts w:ascii="Arial" w:cs="Arial" w:eastAsia="Arial" w:hAnsi="Arial"/>
                <w:sz w:val="23"/>
                <w:szCs w:val="23"/>
                <w:color w:val="auto"/>
                <w:vertAlign w:val="superscript"/>
              </w:rPr>
              <w:t>(2)</w:t>
            </w:r>
          </w:p>
        </w:tc>
        <w:tc>
          <w:tcPr>
            <w:tcW w:w="120" w:type="dxa"/>
            <w:vAlign w:val="bottom"/>
            <w:tcBorders>
              <w:top w:val="single" w:sz="8" w:color="CCEEFF"/>
            </w:tcBorders>
            <w:shd w:val="clear" w:color="auto" w:fill="CCEEFF"/>
          </w:tcPr>
          <w:p>
            <w:pPr>
              <w:spacing w:after="0"/>
              <w:rPr>
                <w:sz w:val="19"/>
                <w:szCs w:val="19"/>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Forward-starting to pay a fixed rate of 3.55% and receive a floating rate</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304"/>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July 2022</w:t>
            </w:r>
            <w:r>
              <w:rPr>
                <w:rFonts w:ascii="Arial" w:cs="Arial" w:eastAsia="Arial" w:hAnsi="Arial"/>
                <w:sz w:val="23"/>
                <w:szCs w:val="23"/>
                <w:color w:val="auto"/>
                <w:vertAlign w:val="superscript"/>
              </w:rPr>
              <w:t>(2)</w:t>
            </w:r>
          </w:p>
        </w:tc>
        <w:tc>
          <w:tcPr>
            <w:tcW w:w="6340" w:type="dxa"/>
            <w:vAlign w:val="bottom"/>
            <w:gridSpan w:val="2"/>
          </w:tcPr>
          <w:p>
            <w:pPr>
              <w:spacing w:after="0"/>
              <w:rPr>
                <w:sz w:val="20"/>
                <w:szCs w:val="20"/>
                <w:color w:val="auto"/>
              </w:rPr>
            </w:pPr>
            <w:r>
              <w:rPr>
                <w:rFonts w:ascii="Arial" w:cs="Arial" w:eastAsia="Arial" w:hAnsi="Arial"/>
                <w:sz w:val="18"/>
                <w:szCs w:val="18"/>
                <w:color w:val="auto"/>
              </w:rPr>
              <w:t>Forward-starting to pay a fixed rate of 3.80% and receive a floating rate</w:t>
            </w:r>
          </w:p>
        </w:tc>
        <w:tc>
          <w:tcPr>
            <w:tcW w:w="1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400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ind w:left="320" w:hanging="312"/>
        <w:spacing w:after="0" w:line="226" w:lineRule="auto"/>
        <w:tabs>
          <w:tab w:leader="none" w:pos="320"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Floating rates are based on 3-month LIBOR.</w:t>
      </w:r>
    </w:p>
    <w:p>
      <w:pPr>
        <w:spacing w:after="0" w:line="82"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49"/>
        </w:numPr>
        <w:rPr>
          <w:rFonts w:ascii="Arial" w:cs="Arial" w:eastAsia="Arial" w:hAnsi="Arial"/>
          <w:sz w:val="21"/>
          <w:szCs w:val="21"/>
          <w:color w:val="auto"/>
          <w:vertAlign w:val="superscript"/>
        </w:rPr>
      </w:pPr>
      <w:r>
        <w:rPr>
          <w:rFonts w:ascii="Arial" w:cs="Arial" w:eastAsia="Arial" w:hAnsi="Arial"/>
          <w:sz w:val="16"/>
          <w:szCs w:val="16"/>
          <w:color w:val="auto"/>
        </w:rPr>
        <w:t>Represents the effective date. These forward-starting swaps have terms of 30 years with a mandatory termination date the same as the effective date.</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hypothetical change of 100 basis points in interest rates for these interest rate swaps would result in a net change in the fair value of interest rate derivatives and earnings (recognized in gains and losses on interest rate derivatives) of $220 million as of March 31, 2021. For the forward-starting interest rate swaps, a hypothetical change of 100 basis points in interest rates would not affect cash flows until the swaps are settled.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established disclosure controls and procedures to ensure that information required to be disclosed by us, including our consolidated entities, in the reports that we file or submit under the Exchange Act is recorded, processed, summarized and reported within the time periods specified in the SEC’s rules and forms.</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supervision and with the participation of senior management, including the Co-Chief Executive Officers (“Co-Principal Executive Officer”) and the Chief Financial Officer (“Principal Financial Officer”) of our General Partner, we evaluated our disclosure controls and procedures, as such term is defined under Rule 13a–15(e) promulgated under the Exchange Act. Based on this evaluation, the Principal Executive Officers and the Principal Financial Officer of our General Partner concluded that our disclosure controls and procedures were effective as of March 31, 2021 to ensure that information required to be disclosed by us in the reports we file or submit under the Exchange Act (1) is recorded, processed, summarized and reported within the time periods specified in the SEC’s rules and forms, and (2) is accumulated and communicated to management, including the Principal Executive Officers and Principal Financial Officer of our General Partner, to allow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There have been no changes in our internal control over financial reporting (as defined in Rule 13(a)-15(f) or Rule 15d-15(f) of the Exchange Act) during the </w:t>
      </w:r>
      <w:r>
        <w:rPr>
          <w:rFonts w:ascii="Arial" w:cs="Arial" w:eastAsia="Arial" w:hAnsi="Arial"/>
          <w:sz w:val="18"/>
          <w:szCs w:val="18"/>
          <w:color w:val="000000"/>
        </w:rPr>
        <w:t>three months ended March 31, 2021</w:t>
      </w:r>
      <w:r>
        <w:rPr>
          <w:rFonts w:ascii="Arial" w:cs="Arial" w:eastAsia="Arial" w:hAnsi="Arial"/>
          <w:sz w:val="18"/>
          <w:szCs w:val="18"/>
          <w:color w:val="212529"/>
        </w:rPr>
        <w:t xml:space="preserve">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legal proceedings, see our Annual Report on Form 10-K filed with the SEC on February 19, 2021 and Note 11 – Regulatory Matters, Commitments, Contingencies and Environmental Liabilities of the Notes to Consolidated Financial Statements of Energy Transfer LP and Subsidiaries included in this Quarterly Report on Form 10-Q for the quarter ended March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Stoneman House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late 2016, FERC Enforcement Staff began a non-public investigation of Rover’s removal of the Stoneman House, an old structure, at a time when Rover’s application was pending for permission to construct a new interstate natural gas pipeline and related facilities. On March 18, 2021, FERC issued an Order to Show Cause and Notice of Proposed Penalty (Docket No. IN19-4-000), ordering Rover to show cause why it should not be found to have violated Section 157.5 of the Commission’s regulations and assessed civil penalties. Rover must file an answer responding to this Order by June 18, 2021. The Partnership disagrees with the findings and intends to vigorously defend against any proposed penalties. Given the stage of the proceedings, the Partnership is unable at this time to provide an assessment of the potential outcome or range of potential liability, if 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Tuscarawas River</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mid-2017, FERC Enforcement Staff began a non-public investigation regarding allegations that diesel fuel may have been included in the drilling mud at the Tuscarawas River horizontal directional drilling (“HDD”) operations. Rover and the Partnership are cooperating with the investigation. Enforcement Staff has provided Rover with a notice pursuant to Section 1b.19 of the FERC’s regulations that Enforcement Staff intends to recommend that the FERC pursue an enforcement action against Rover and the Partnership. The Partnership disagrees with Enforcement Staff’s findings and intends to vigorously defend against any potential penalty. Given the stage of the proceedings, and the non-public nature of the investigation, the Partnership is unable at this time to provide an assessment of the potential outcome or range of potential liability, if 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Revolution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10, 2018, a pipeline release and fire (the “Incident”) occurred on the Revolution pipeline, a natural gas gathering line located in Center Township, Beaver County, Pennsylvania. There were no injuries. On February 8, 2019, the Pennsylvania Department of Environmental Protection (“PADEP”) issued a Permit Hold on any requests for approvals/permits or permit amendments for any project in Pennsylvania pursuant to the state’s water laws. The Partnership filed an appeal of the Permit Hold with the Pennsylvania Environmental Hearing Board. On January 3, 2020, the Partnership entered into a Consent Order and Agreement with the PADEP in which, among other things, the Permit Hold was lifted, the Partnership agreed to pay a $28.6 million civil penalty and fund a $2 million community environmental project, and all related appeals were withdrawn. On November 11, 2020, the PADEP issued an Order, which requires additional approvals and work prior to placing the Revolution Pipeline back in service. The Partnership filed an appeal of this Order with the Environmental Hearing Board on December 8, 2020. On February 26, 2021, the Partnership entered into a Consent Order and Agreement with the PADEP in which, among other things, the Partnership was allowed to place the Revolution pipeline back in service, the Partnership agreed to pay a $125,000 penalty, and all related appeals were withdrawn.</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Pennsylvania Office of Attorney General has commenced an investigation regarding the Incident, and the United States Attorney for the Western District of Pennsylvania has issued a federal grand jury subpoena for documents relevant to the Incident. The scope of these investigations is not further known at this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have received notices of violations and potential fines under various federal, state and local provisions relating to the discharge of materials into the environment or protection of the environment. While we believe that even if any one or more of the environmental proceedings listed below were decided against us, it would not be material to our financial position, results of operations or cash flows, we are required to report governmental proceedings if we reasonably believe that such proceedings will result in monetary sanctions in excess of $300,000.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instructions to Form 10-Q, matters disclosed in this Part II - Item 1 include any reportable legal proceeding (i) that has been terminated during the period covered by this report, (ii) that became a reportable event during the period covered by this report, or (iii) for which there has been a material development during the period covered by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other legal proceedings, see Note 11 to our consolidated financial statements included in “Item 1.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from the risk factors described in Part I, Item 1A in the Partnership’s Annual Report on Form10-K for the year ended December 31, 2020 filed with the SEC on February 19,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00" w:type="dxa"/>
            <w:vAlign w:val="bottom"/>
            <w:gridSpan w:val="30"/>
          </w:tcPr>
          <w:p>
            <w:pPr>
              <w:ind w:left="420"/>
              <w:spacing w:after="0"/>
              <w:rPr>
                <w:sz w:val="20"/>
                <w:szCs w:val="20"/>
                <w:color w:val="auto"/>
              </w:rPr>
            </w:pPr>
            <w:r>
              <w:rPr>
                <w:rFonts w:ascii="Arial" w:cs="Arial" w:eastAsia="Arial" w:hAnsi="Arial"/>
                <w:sz w:val="18"/>
                <w:szCs w:val="18"/>
                <w:b w:val="1"/>
                <w:bCs w:val="1"/>
                <w:color w:val="auto"/>
              </w:rPr>
              <w:t>ITEM 6. EXHIBITS</w:t>
            </w:r>
          </w:p>
        </w:tc>
      </w:tr>
      <w:tr>
        <w:trPr>
          <w:trHeight w:val="378"/>
        </w:trPr>
        <w:tc>
          <w:tcPr>
            <w:tcW w:w="11520" w:type="dxa"/>
            <w:vAlign w:val="bottom"/>
            <w:gridSpan w:val="37"/>
          </w:tcPr>
          <w:p>
            <w:pPr>
              <w:spacing w:after="0"/>
              <w:rPr>
                <w:sz w:val="20"/>
                <w:szCs w:val="20"/>
                <w:color w:val="auto"/>
              </w:rPr>
            </w:pPr>
            <w:r>
              <w:rPr>
                <w:rFonts w:ascii="Arial" w:cs="Arial" w:eastAsia="Arial" w:hAnsi="Arial"/>
                <w:sz w:val="18"/>
                <w:szCs w:val="18"/>
                <w:color w:val="auto"/>
              </w:rPr>
              <w:t>The exhibits listed below are filed or furnished, as indicated, as part of this report:</w:t>
            </w:r>
          </w:p>
        </w:tc>
      </w:tr>
      <w:tr>
        <w:trPr>
          <w:trHeight w:val="527"/>
        </w:trPr>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9880" w:type="dxa"/>
            <w:vAlign w:val="bottom"/>
            <w:gridSpan w:val="34"/>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5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60" w:type="dxa"/>
            <w:vAlign w:val="bottom"/>
            <w:tcBorders>
              <w:top w:val="single" w:sz="8" w:color="auto"/>
            </w:tcBorders>
            <w:gridSpan w:val="33"/>
          </w:tcPr>
          <w:p>
            <w:pPr>
              <w:spacing w:after="0" w:line="182" w:lineRule="exact"/>
              <w:rPr>
                <w:rFonts w:ascii="Arial" w:cs="Arial" w:eastAsia="Arial" w:hAnsi="Arial"/>
                <w:sz w:val="18"/>
                <w:szCs w:val="18"/>
                <w:color w:val="0000FF"/>
                <w:w w:val="96"/>
              </w:rPr>
            </w:pPr>
            <w:hyperlink r:id="rId91">
              <w:r>
                <w:rPr>
                  <w:rFonts w:ascii="Arial" w:cs="Arial" w:eastAsia="Arial" w:hAnsi="Arial"/>
                  <w:sz w:val="18"/>
                  <w:szCs w:val="18"/>
                  <w:color w:val="0000FF"/>
                  <w:w w:val="96"/>
                </w:rPr>
                <w:t>Agreement and Plan of Merger, dated as of February 16, 2021, by and among Energy Transfer LP, Elk Merger Sub LLC, Elk GP</w:t>
              </w:r>
            </w:hyperlink>
          </w:p>
        </w:tc>
        <w:tc>
          <w:tcPr>
            <w:tcW w:w="20" w:type="dxa"/>
            <w:vAlign w:val="bottom"/>
          </w:tcPr>
          <w:p>
            <w:pPr>
              <w:spacing w:after="0"/>
              <w:rPr>
                <w:sz w:val="15"/>
                <w:szCs w:val="15"/>
                <w:color w:val="auto"/>
              </w:rPr>
            </w:pPr>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4"/>
              </w:rPr>
            </w:pPr>
            <w:hyperlink r:id="rId91">
              <w:r>
                <w:rPr>
                  <w:rFonts w:ascii="Arial" w:cs="Arial" w:eastAsia="Arial" w:hAnsi="Arial"/>
                  <w:sz w:val="18"/>
                  <w:szCs w:val="18"/>
                  <w:color w:val="0000FF"/>
                  <w:w w:val="94"/>
                </w:rPr>
                <w:t>Merger Sub LLC, Enable Midstream Partners, LP, Enable GP, LLC, solely for purposes of Section 2.1(a)(i) therein, LE GP, LLC,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28"/>
          </w:tcPr>
          <w:p>
            <w:pPr>
              <w:spacing w:after="0" w:line="156" w:lineRule="exact"/>
              <w:rPr>
                <w:rFonts w:ascii="Arial" w:cs="Arial" w:eastAsia="Arial" w:hAnsi="Arial"/>
                <w:sz w:val="18"/>
                <w:szCs w:val="18"/>
                <w:color w:val="0000FF"/>
                <w:w w:val="95"/>
              </w:rPr>
            </w:pPr>
            <w:hyperlink r:id="rId91">
              <w:r>
                <w:rPr>
                  <w:rFonts w:ascii="Arial" w:cs="Arial" w:eastAsia="Arial" w:hAnsi="Arial"/>
                  <w:sz w:val="18"/>
                  <w:szCs w:val="18"/>
                  <w:color w:val="0000FF"/>
                  <w:w w:val="95"/>
                </w:rPr>
                <w:t>and, solely for purposes of Section 1.1(b)(i), CenterPoint Energy, Inc. (incorporated by reference to Exhibit 2.1 of Form 8-K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No. 1-32740) filed February 16, 2021)</w:t>
              </w:r>
            </w:hyperlink>
          </w:p>
        </w:tc>
        <w:tc>
          <w:tcPr>
            <w:tcW w:w="67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52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w w:val="95"/>
              </w:rPr>
            </w:pPr>
            <w:hyperlink r:id="rId92">
              <w:r>
                <w:rPr>
                  <w:rFonts w:ascii="Arial" w:cs="Arial" w:eastAsia="Arial" w:hAnsi="Arial"/>
                  <w:sz w:val="18"/>
                  <w:szCs w:val="18"/>
                  <w:color w:val="0000FF"/>
                  <w:w w:val="95"/>
                </w:rPr>
                <w:t>Agreement and Plan of Merger, dated as of March 5, 2021, by and among Energy Transfer LP, ETO Merger Sub LLC and Energy</w:t>
              </w:r>
            </w:hyperlink>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92">
              <w:r>
                <w:rPr>
                  <w:rFonts w:ascii="Arial" w:cs="Arial" w:eastAsia="Arial" w:hAnsi="Arial"/>
                  <w:sz w:val="18"/>
                  <w:szCs w:val="18"/>
                  <w:color w:val="0000FF"/>
                  <w:w w:val="92"/>
                </w:rPr>
                <w:t>Transfer Operating, L.P. (incorporated by reference to Exhibit 2.1 of Form 8-K (File No. 1-32740) filed March 5, 2021)</w:t>
              </w:r>
            </w:hyperlink>
          </w:p>
        </w:tc>
        <w:tc>
          <w:tcPr>
            <w:tcW w:w="9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520" w:type="dxa"/>
            <w:vAlign w:val="bottom"/>
          </w:tcPr>
          <w:p>
            <w:pPr>
              <w:ind w:lef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w w:val="93"/>
              </w:rPr>
            </w:pPr>
            <w:hyperlink r:id="rId93">
              <w:r>
                <w:rPr>
                  <w:rFonts w:ascii="Arial" w:cs="Arial" w:eastAsia="Arial" w:hAnsi="Arial"/>
                  <w:sz w:val="18"/>
                  <w:szCs w:val="18"/>
                  <w:color w:val="0000FF"/>
                  <w:w w:val="93"/>
                </w:rPr>
                <w:t>Agreement and Plan of Merger, dated as of April 1, 2021, by and among Energy Transfer Operating, L.P., Sunoco Logistics Partners</w:t>
              </w:r>
            </w:hyperlink>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4"/>
              </w:rPr>
            </w:pPr>
            <w:hyperlink r:id="rId93">
              <w:r>
                <w:rPr>
                  <w:rFonts w:ascii="Arial" w:cs="Arial" w:eastAsia="Arial" w:hAnsi="Arial"/>
                  <w:sz w:val="18"/>
                  <w:szCs w:val="18"/>
                  <w:color w:val="0000FF"/>
                  <w:w w:val="94"/>
                </w:rPr>
                <w:t>Operations L.P. and Sunoco Logistics Partners GP LLC. (incorporated by reference to Exhibit 2.1 of Form 8-K (File No. 1-32740)</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32"/>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filed April 1, 2021)</w:t>
              </w:r>
            </w:hyperlink>
          </w:p>
        </w:tc>
        <w:tc>
          <w:tcPr>
            <w:tcW w:w="40" w:type="dxa"/>
            <w:vAlign w:val="bottom"/>
            <w:gridSpan w:val="2"/>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520" w:type="dxa"/>
            <w:vAlign w:val="bottom"/>
          </w:tcPr>
          <w:p>
            <w:pPr>
              <w:ind w:lef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w w:val="95"/>
              </w:rPr>
            </w:pPr>
            <w:hyperlink r:id="rId94">
              <w:r>
                <w:rPr>
                  <w:rFonts w:ascii="Arial" w:cs="Arial" w:eastAsia="Arial" w:hAnsi="Arial"/>
                  <w:sz w:val="18"/>
                  <w:szCs w:val="18"/>
                  <w:color w:val="0000FF"/>
                  <w:w w:val="95"/>
                </w:rPr>
                <w:t>Agreement and Plan of Merger, dated as of April 1, 2021, by and among Energy Transfer LP and Energy Transfer Operating, L.P.</w:t>
              </w:r>
            </w:hyperlink>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(incorporated by reference to Exhibit 2.2 of Form 8-K (File No. 1-32740) filed April 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52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w w:val="97"/>
              </w:rPr>
            </w:pPr>
            <w:hyperlink r:id="rId95">
              <w:r>
                <w:rPr>
                  <w:rFonts w:ascii="Arial" w:cs="Arial" w:eastAsia="Arial" w:hAnsi="Arial"/>
                  <w:sz w:val="18"/>
                  <w:szCs w:val="18"/>
                  <w:color w:val="0000FF"/>
                  <w:w w:val="97"/>
                </w:rPr>
                <w:t>Certificate of Limited Partnership of Energy Transfer Equity, L.P. (incorporated by reference to Exhibit 3.2 of Form S-1, File No.</w:t>
              </w:r>
            </w:hyperlink>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333-128097, filed September 2, 2005)</w:t>
              </w:r>
            </w:hyperlink>
          </w:p>
        </w:tc>
        <w:tc>
          <w:tcPr>
            <w:tcW w:w="68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52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rPr>
            </w:pPr>
            <w:hyperlink r:id="rId96">
              <w:r>
                <w:rPr>
                  <w:rFonts w:ascii="Arial" w:cs="Arial" w:eastAsia="Arial" w:hAnsi="Arial"/>
                  <w:sz w:val="18"/>
                  <w:szCs w:val="18"/>
                  <w:color w:val="0000FF"/>
                </w:rPr>
                <w:t>Certificate of Amendment of Certificate of Limited Partnership of Energy Transfer Equity, L.P., dated as of October 19, 2018</w:t>
              </w:r>
            </w:hyperlink>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(incorporated by reference to Exhibit 3.1 of Form 8-K, File No. 1-32740, filed October 19, 2018)</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52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w w:val="95"/>
              </w:rPr>
            </w:pPr>
            <w:hyperlink r:id="rId97">
              <w:r>
                <w:rPr>
                  <w:rFonts w:ascii="Arial" w:cs="Arial" w:eastAsia="Arial" w:hAnsi="Arial"/>
                  <w:sz w:val="18"/>
                  <w:szCs w:val="18"/>
                  <w:color w:val="0000FF"/>
                  <w:w w:val="95"/>
                </w:rPr>
                <w:t>Third Amended Restated Agreement of Limited Partnership of Energy Transfer Equity, L.P., dated February 8, 2006 (incorporated</w:t>
              </w:r>
            </w:hyperlink>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97">
              <w:r>
                <w:rPr>
                  <w:rFonts w:ascii="Arial" w:cs="Arial" w:eastAsia="Arial" w:hAnsi="Arial"/>
                  <w:sz w:val="18"/>
                  <w:szCs w:val="18"/>
                  <w:color w:val="0000FF"/>
                  <w:w w:val="92"/>
                </w:rPr>
                <w:t>by reference to Exhibit 3.1 of Form 8-K, File No. 1-32740, filed February 14, 2006)</w:t>
              </w:r>
            </w:hyperlink>
          </w:p>
        </w:tc>
        <w:tc>
          <w:tcPr>
            <w:tcW w:w="346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520" w:type="dxa"/>
            <w:vAlign w:val="bottom"/>
          </w:tcPr>
          <w:p>
            <w:pPr>
              <w:ind w:lef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rPr>
            </w:pPr>
            <w:hyperlink r:id="rId98">
              <w:r>
                <w:rPr>
                  <w:rFonts w:ascii="Arial" w:cs="Arial" w:eastAsia="Arial" w:hAnsi="Arial"/>
                  <w:sz w:val="18"/>
                  <w:szCs w:val="18"/>
                  <w:color w:val="0000FF"/>
                </w:rPr>
                <w:t>Amendment No. 1 to Third Amended and Restated Agreement of Limited Partnership of Energy Transfer Equity, L.P. dated</w:t>
              </w:r>
            </w:hyperlink>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November 1, 2006 (incorporated by reference to Exhibit 3.3.1 of Form 10-K, File No. 1-32740, filed November 29, 2006)</w:t>
              </w:r>
            </w:hyperlink>
          </w:p>
        </w:tc>
        <w:tc>
          <w:tcPr>
            <w:tcW w:w="80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520" w:type="dxa"/>
            <w:vAlign w:val="bottom"/>
          </w:tcPr>
          <w:p>
            <w:pPr>
              <w:ind w:left="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rPr>
            </w:pPr>
            <w:hyperlink r:id="rId99">
              <w:r>
                <w:rPr>
                  <w:rFonts w:ascii="Arial" w:cs="Arial" w:eastAsia="Arial" w:hAnsi="Arial"/>
                  <w:sz w:val="18"/>
                  <w:szCs w:val="18"/>
                  <w:color w:val="0000FF"/>
                </w:rPr>
                <w:t>Amendment No. 2 to Third Amended and Restated Agreement of Limited Partnership of Energy Transfer Equity, L.P., dated</w:t>
              </w:r>
            </w:hyperlink>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November 9, 2007 (incorporated by reference to Exhibit 3.3.2 of Form 8-K, File No. 1-32740, filed November 13, 2007)</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520" w:type="dxa"/>
            <w:vAlign w:val="bottom"/>
          </w:tcPr>
          <w:p>
            <w:pPr>
              <w:ind w:left="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w w:val="96"/>
              </w:rPr>
            </w:pPr>
            <w:hyperlink r:id="rId100">
              <w:r>
                <w:rPr>
                  <w:rFonts w:ascii="Arial" w:cs="Arial" w:eastAsia="Arial" w:hAnsi="Arial"/>
                  <w:sz w:val="18"/>
                  <w:szCs w:val="18"/>
                  <w:color w:val="0000FF"/>
                  <w:w w:val="96"/>
                </w:rPr>
                <w:t>Amendment No. 3 to Third Amended and Restated Agreement of Limited Partnership of Energy Transfer Equity, L.P., dated May</w:t>
              </w:r>
            </w:hyperlink>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26, 2010 (incorporated by reference to Exhibit 3.1 of Form 8-K, File No. 1-32740, filed June 2, 2010)</w:t>
              </w:r>
            </w:hyperlink>
          </w:p>
        </w:tc>
        <w:tc>
          <w:tcPr>
            <w:tcW w:w="23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520" w:type="dxa"/>
            <w:vAlign w:val="bottom"/>
          </w:tcPr>
          <w:p>
            <w:pPr>
              <w:ind w:left="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rPr>
            </w:pPr>
            <w:hyperlink r:id="rId101">
              <w:r>
                <w:rPr>
                  <w:rFonts w:ascii="Arial" w:cs="Arial" w:eastAsia="Arial" w:hAnsi="Arial"/>
                  <w:sz w:val="18"/>
                  <w:szCs w:val="18"/>
                  <w:color w:val="0000FF"/>
                </w:rPr>
                <w:t>Amendment No. 4 to Third Amended and Restated Agreement of Limited Partnership of Energy Transfer Equity, L.P., dated</w:t>
              </w:r>
            </w:hyperlink>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December 23, 2013 (incorporated by reference to Exhibit 3.1 of Form 8-K, File No. 1-32740, filed December 27, 2013)</w:t>
              </w:r>
            </w:hyperlink>
          </w:p>
        </w:tc>
        <w:tc>
          <w:tcPr>
            <w:tcW w:w="1100" w:type="dxa"/>
            <w:vAlign w:val="bottom"/>
            <w:tcBorders>
              <w:top w:val="single" w:sz="8" w:color="0000FF"/>
            </w:tcBorders>
            <w:gridSpan w:val="1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520" w:type="dxa"/>
            <w:vAlign w:val="bottom"/>
          </w:tcPr>
          <w:p>
            <w:pPr>
              <w:ind w:left="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w w:val="94"/>
              </w:rPr>
            </w:pPr>
            <w:hyperlink r:id="rId102">
              <w:r>
                <w:rPr>
                  <w:rFonts w:ascii="Arial" w:cs="Arial" w:eastAsia="Arial" w:hAnsi="Arial"/>
                  <w:sz w:val="18"/>
                  <w:szCs w:val="18"/>
                  <w:color w:val="0000FF"/>
                  <w:w w:val="94"/>
                </w:rPr>
                <w:t>Amendment No. 5 to Third Amended and Restated Agreement of Limited Partnership of Energy Transfer Equity, L.P., dated March</w:t>
              </w:r>
            </w:hyperlink>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8, 2016 (incorporated by reference to Exhibit 3.1 of Form 8-K, File No. 1-32740, filed March 9,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520" w:type="dxa"/>
            <w:vAlign w:val="bottom"/>
          </w:tcPr>
          <w:p>
            <w:pPr>
              <w:ind w:left="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w w:val="95"/>
              </w:rPr>
            </w:pPr>
            <w:hyperlink r:id="rId103">
              <w:r>
                <w:rPr>
                  <w:rFonts w:ascii="Arial" w:cs="Arial" w:eastAsia="Arial" w:hAnsi="Arial"/>
                  <w:sz w:val="18"/>
                  <w:szCs w:val="18"/>
                  <w:color w:val="0000FF"/>
                  <w:w w:val="95"/>
                </w:rPr>
                <w:t>Amendment No. 6 to Third Amended and Restated Agreement of Limited Partnership of Energy Transfer Equity, L.P., dated as of</w:t>
              </w:r>
            </w:hyperlink>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October 19, 2018 (incorporated by reference to Exhibit 3.9 of Form 10-Q, File No. 1-32740, filed November 8, 2018)</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3520" w:type="dxa"/>
            <w:vAlign w:val="bottom"/>
            <w:gridSpan w:val="6"/>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520" w:type="dxa"/>
            <w:vAlign w:val="bottom"/>
          </w:tcPr>
          <w:p>
            <w:pPr>
              <w:ind w:left="2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w w:val="95"/>
              </w:rPr>
            </w:pPr>
            <w:hyperlink r:id="rId104">
              <w:r>
                <w:rPr>
                  <w:rFonts w:ascii="Arial" w:cs="Arial" w:eastAsia="Arial" w:hAnsi="Arial"/>
                  <w:sz w:val="18"/>
                  <w:szCs w:val="18"/>
                  <w:color w:val="0000FF"/>
                  <w:w w:val="95"/>
                </w:rPr>
                <w:t>Amendment No. 7 to Third Amended and Restated Agreement of Limited Partnership of Energy Transfer LP dated as of August 6,</w:t>
              </w:r>
            </w:hyperlink>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2019 (incorporated by reference to Exhibit 3.10 of Form 10-Q, File No. 1-32740, filed August 8, 2019)</w:t>
              </w:r>
            </w:hyperlink>
          </w:p>
        </w:tc>
        <w:tc>
          <w:tcPr>
            <w:tcW w:w="23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5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w w:val="98"/>
              </w:rPr>
            </w:pPr>
            <w:hyperlink r:id="rId105">
              <w:r>
                <w:rPr>
                  <w:rFonts w:ascii="Arial" w:cs="Arial" w:eastAsia="Arial" w:hAnsi="Arial"/>
                  <w:sz w:val="18"/>
                  <w:szCs w:val="18"/>
                  <w:color w:val="0000FF"/>
                  <w:w w:val="98"/>
                </w:rPr>
                <w:t>Amendment No. 8, dated as of April 1, 2021, to the Third Amended and Restated Agreement of Limited Partnership of Energy</w:t>
              </w:r>
            </w:hyperlink>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31"/>
          </w:tcPr>
          <w:p>
            <w:pPr>
              <w:spacing w:after="0" w:line="156" w:lineRule="exact"/>
              <w:rPr>
                <w:rFonts w:ascii="Arial" w:cs="Arial" w:eastAsia="Arial" w:hAnsi="Arial"/>
                <w:sz w:val="18"/>
                <w:szCs w:val="18"/>
                <w:color w:val="0000FF"/>
                <w:w w:val="96"/>
              </w:rPr>
            </w:pPr>
            <w:hyperlink r:id="rId105">
              <w:r>
                <w:rPr>
                  <w:rFonts w:ascii="Arial" w:cs="Arial" w:eastAsia="Arial" w:hAnsi="Arial"/>
                  <w:sz w:val="18"/>
                  <w:szCs w:val="18"/>
                  <w:color w:val="0000FF"/>
                  <w:w w:val="96"/>
                </w:rPr>
                <w:t>Transfer LP, dated as of February 8, 2006. (incorporated by reference to Exhibit 2.2 of Form 8-K, File No. 1-32740, filed April 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05">
              <w:r>
                <w:rPr>
                  <w:rFonts w:ascii="Arial" w:cs="Arial" w:eastAsia="Arial" w:hAnsi="Arial"/>
                  <w:sz w:val="18"/>
                  <w:szCs w:val="18"/>
                  <w:color w:val="0000FF"/>
                  <w:w w:val="86"/>
                </w:rPr>
                <w:t>2021)</w:t>
              </w:r>
            </w:hyperlink>
          </w:p>
        </w:tc>
        <w:tc>
          <w:tcPr>
            <w:tcW w:w="98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52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34"/>
          </w:tcPr>
          <w:p>
            <w:pPr>
              <w:spacing w:after="0"/>
              <w:rPr>
                <w:rFonts w:ascii="Arial" w:cs="Arial" w:eastAsia="Arial" w:hAnsi="Arial"/>
                <w:sz w:val="18"/>
                <w:szCs w:val="18"/>
                <w:color w:val="0000FF"/>
                <w:w w:val="95"/>
              </w:rPr>
            </w:pPr>
            <w:hyperlink r:id="rId106">
              <w:r>
                <w:rPr>
                  <w:rFonts w:ascii="Arial" w:cs="Arial" w:eastAsia="Arial" w:hAnsi="Arial"/>
                  <w:sz w:val="18"/>
                  <w:szCs w:val="18"/>
                  <w:color w:val="0000FF"/>
                  <w:w w:val="95"/>
                </w:rPr>
                <w:t>Support Agreement, dated as of February 16, 2021, by and among Energy Transfer LP, Elk Merger Sub LLC, Elk GP Merger Sub</w:t>
              </w:r>
            </w:hyperlink>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3"/>
          </w:tcPr>
          <w:p>
            <w:pPr>
              <w:spacing w:after="0" w:line="156" w:lineRule="exact"/>
              <w:rPr>
                <w:rFonts w:ascii="Arial" w:cs="Arial" w:eastAsia="Arial" w:hAnsi="Arial"/>
                <w:sz w:val="18"/>
                <w:szCs w:val="18"/>
                <w:color w:val="0000FF"/>
                <w:w w:val="95"/>
              </w:rPr>
            </w:pPr>
            <w:hyperlink r:id="rId106">
              <w:r>
                <w:rPr>
                  <w:rFonts w:ascii="Arial" w:cs="Arial" w:eastAsia="Arial" w:hAnsi="Arial"/>
                  <w:sz w:val="18"/>
                  <w:szCs w:val="18"/>
                  <w:color w:val="0000FF"/>
                  <w:w w:val="95"/>
                </w:rPr>
                <w:t>LLC, Enable Midstream Partners LP, Enable GP, LLC and CenterPoint Energy, Inc. (incorporated by reference to Exhibit 2.1 of</w:t>
              </w:r>
            </w:hyperlink>
          </w:p>
        </w:tc>
        <w:tc>
          <w:tcPr>
            <w:tcW w:w="220" w:type="dxa"/>
            <w:vAlign w:val="bottom"/>
            <w:gridSpan w:val="11"/>
          </w:tcPr>
          <w:p>
            <w:pPr>
              <w:spacing w:after="0"/>
              <w:rPr>
                <w:sz w:val="13"/>
                <w:szCs w:val="13"/>
                <w:color w:val="auto"/>
              </w:rPr>
            </w:pPr>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Form 8-K (File No. 1-32740) filed February 16, 2021)</w:t>
              </w:r>
            </w:hyperlink>
          </w:p>
        </w:tc>
        <w:tc>
          <w:tcPr>
            <w:tcW w:w="320" w:type="dxa"/>
            <w:vAlign w:val="bottom"/>
            <w:gridSpan w:val="16"/>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60" w:type="dxa"/>
            <w:vAlign w:val="bottom"/>
            <w:gridSpan w:val="6"/>
          </w:tcPr>
          <w:p>
            <w:pPr>
              <w:ind w:left="3900"/>
              <w:spacing w:after="0"/>
              <w:rPr>
                <w:sz w:val="20"/>
                <w:szCs w:val="20"/>
                <w:color w:val="auto"/>
              </w:rPr>
            </w:pPr>
            <w:r>
              <w:rPr>
                <w:rFonts w:ascii="Arial" w:cs="Arial" w:eastAsia="Arial" w:hAnsi="Arial"/>
                <w:sz w:val="18"/>
                <w:szCs w:val="18"/>
                <w:color w:val="auto"/>
              </w:rPr>
              <w:t>56</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0"/>
        </w:trPr>
        <w:tc>
          <w:tcPr>
            <w:tcW w:w="164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 Number</w:t>
            </w:r>
          </w:p>
        </w:tc>
        <w:tc>
          <w:tcPr>
            <w:tcW w:w="9860" w:type="dxa"/>
            <w:vAlign w:val="bottom"/>
            <w:gridSpan w:val="31"/>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90"/>
        </w:trPr>
        <w:tc>
          <w:tcPr>
            <w:tcW w:w="1280" w:type="dxa"/>
            <w:vAlign w:val="bottom"/>
          </w:tcPr>
          <w:p>
            <w:pPr>
              <w:ind w:left="20"/>
              <w:spacing w:after="0" w:line="190" w:lineRule="exact"/>
              <w:rPr>
                <w:sz w:val="20"/>
                <w:szCs w:val="20"/>
                <w:color w:val="auto"/>
              </w:rPr>
            </w:pPr>
            <w:r>
              <w:rPr>
                <w:rFonts w:ascii="Arial" w:cs="Arial" w:eastAsia="Arial" w:hAnsi="Arial"/>
                <w:sz w:val="18"/>
                <w:szCs w:val="18"/>
                <w:color w:val="auto"/>
              </w:rPr>
              <w:t>10.2</w:t>
            </w:r>
          </w:p>
        </w:tc>
        <w:tc>
          <w:tcPr>
            <w:tcW w:w="360" w:type="dxa"/>
            <w:vAlign w:val="bottom"/>
          </w:tcPr>
          <w:p>
            <w:pPr>
              <w:spacing w:after="0"/>
              <w:rPr>
                <w:sz w:val="16"/>
                <w:szCs w:val="16"/>
                <w:color w:val="auto"/>
              </w:rPr>
            </w:pPr>
          </w:p>
        </w:tc>
        <w:tc>
          <w:tcPr>
            <w:tcW w:w="9860" w:type="dxa"/>
            <w:vAlign w:val="bottom"/>
            <w:gridSpan w:val="31"/>
          </w:tcPr>
          <w:p>
            <w:pPr>
              <w:spacing w:after="0" w:line="190" w:lineRule="exact"/>
              <w:rPr>
                <w:rFonts w:ascii="Arial" w:cs="Arial" w:eastAsia="Arial" w:hAnsi="Arial"/>
                <w:sz w:val="18"/>
                <w:szCs w:val="18"/>
                <w:color w:val="0000FF"/>
                <w:w w:val="95"/>
              </w:rPr>
            </w:pPr>
            <w:hyperlink r:id="rId109">
              <w:r>
                <w:rPr>
                  <w:rFonts w:ascii="Arial" w:cs="Arial" w:eastAsia="Arial" w:hAnsi="Arial"/>
                  <w:sz w:val="18"/>
                  <w:szCs w:val="18"/>
                  <w:color w:val="0000FF"/>
                  <w:w w:val="95"/>
                </w:rPr>
                <w:t>Support Agreement, dated as of February 16, 2021, by and among Energy Transfer LP, Elk Merger Sub LLC, Elk GP Merger Sub</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LLC, Enable Midstream Partners LP, Enable GP, LLC and OGE Energy Corp. (incorporated by reference to Exhibit 2.1 of Form 8-</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340" w:type="dxa"/>
            <w:vAlign w:val="bottom"/>
            <w:tcBorders>
              <w:bottom w:val="single" w:sz="8" w:color="0000FF"/>
            </w:tcBorders>
            <w:gridSpan w:val="5"/>
          </w:tcPr>
          <w:p>
            <w:pPr>
              <w:spacing w:after="0" w:line="156"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K (File No. 1-32740) filed February 16, 2021)</w:t>
              </w:r>
            </w:hyperlink>
          </w:p>
        </w:tc>
        <w:tc>
          <w:tcPr>
            <w:tcW w:w="634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w w:val="96"/>
              </w:rPr>
            </w:pPr>
            <w:hyperlink r:id="rId110">
              <w:r>
                <w:rPr>
                  <w:rFonts w:ascii="Arial" w:cs="Arial" w:eastAsia="Arial" w:hAnsi="Arial"/>
                  <w:sz w:val="18"/>
                  <w:szCs w:val="18"/>
                  <w:color w:val="0000FF"/>
                  <w:w w:val="96"/>
                </w:rPr>
                <w:t>Third Supplemental Indenture, dated as of April 1, 2021 by and between Energy Transfer LP and U.S. Bank National Association</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(incorporated by reference to Exhibit 10.1 of Form 8-K (File No. 1-32740) filed April 1, 2021)</w:t>
              </w:r>
            </w:hyperlink>
          </w:p>
        </w:tc>
        <w:tc>
          <w:tcPr>
            <w:tcW w:w="27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w w:val="95"/>
              </w:rPr>
            </w:pPr>
            <w:hyperlink r:id="rId111">
              <w:r>
                <w:rPr>
                  <w:rFonts w:ascii="Arial" w:cs="Arial" w:eastAsia="Arial" w:hAnsi="Arial"/>
                  <w:sz w:val="18"/>
                  <w:szCs w:val="18"/>
                  <w:color w:val="0000FF"/>
                  <w:w w:val="95"/>
                </w:rPr>
                <w:t>Fourth Supplemental Indenture, dated as of April 1, 2021 by and between Energy Transfer LP and U.S. Bank National Association</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3"/>
              </w:rPr>
            </w:pPr>
            <w:hyperlink r:id="rId111">
              <w:r>
                <w:rPr>
                  <w:rFonts w:ascii="Arial" w:cs="Arial" w:eastAsia="Arial" w:hAnsi="Arial"/>
                  <w:sz w:val="18"/>
                  <w:szCs w:val="18"/>
                  <w:color w:val="0000FF"/>
                  <w:w w:val="93"/>
                </w:rPr>
                <w:t>(incorporated by reference to Exhibit 10.2 of Form 8-K (File No. 1-32740) filed April 1, 2021)</w:t>
              </w:r>
            </w:hyperlink>
          </w:p>
        </w:tc>
        <w:tc>
          <w:tcPr>
            <w:tcW w:w="276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w w:val="96"/>
              </w:rPr>
            </w:pPr>
            <w:hyperlink r:id="rId112">
              <w:r>
                <w:rPr>
                  <w:rFonts w:ascii="Arial" w:cs="Arial" w:eastAsia="Arial" w:hAnsi="Arial"/>
                  <w:sz w:val="18"/>
                  <w:szCs w:val="18"/>
                  <w:color w:val="0000FF"/>
                  <w:w w:val="96"/>
                </w:rPr>
                <w:t>Fifth Supplemental Indenture, dated as of April 1, 2021 by and between Energy Transfer LP and U.S. Bank National Association</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3"/>
              </w:rPr>
            </w:pPr>
            <w:hyperlink r:id="rId112">
              <w:r>
                <w:rPr>
                  <w:rFonts w:ascii="Arial" w:cs="Arial" w:eastAsia="Arial" w:hAnsi="Arial"/>
                  <w:sz w:val="18"/>
                  <w:szCs w:val="18"/>
                  <w:color w:val="0000FF"/>
                  <w:w w:val="93"/>
                </w:rPr>
                <w:t>(incorporated by reference to Exhibit 10.3 of Form 8-K (File No. 1-32740) filed April 1, 2021)</w:t>
              </w:r>
            </w:hyperlink>
          </w:p>
        </w:tc>
        <w:tc>
          <w:tcPr>
            <w:tcW w:w="29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w w:val="99"/>
              </w:rPr>
            </w:pPr>
            <w:hyperlink r:id="rId113">
              <w:r>
                <w:rPr>
                  <w:rFonts w:ascii="Arial" w:cs="Arial" w:eastAsia="Arial" w:hAnsi="Arial"/>
                  <w:sz w:val="18"/>
                  <w:szCs w:val="18"/>
                  <w:color w:val="0000FF"/>
                  <w:w w:val="99"/>
                </w:rPr>
                <w:t>Seventeenth Supplemental Indenture, dated as of April 1, 2021 by and between Energy Transfer LP and U.S. Bank National</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Association (incorporated by reference to Exhibit 10.4 of Form 8-K (File No. 1-32740) filed April 1,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rPr>
            </w:pPr>
            <w:hyperlink r:id="rId114">
              <w:r>
                <w:rPr>
                  <w:rFonts w:ascii="Arial" w:cs="Arial" w:eastAsia="Arial" w:hAnsi="Arial"/>
                  <w:sz w:val="18"/>
                  <w:szCs w:val="18"/>
                  <w:color w:val="0000FF"/>
                </w:rPr>
                <w:t>Nineteenth Supplemental Indenture, dated as of April 1, 2021 by and between Energy Transfer LP and U.S. Bank National</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Association (incorporated by reference to Exhibit 10.5 of Form 8-K (File No. 1-32740) filed April 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w w:val="96"/>
              </w:rPr>
            </w:pPr>
            <w:hyperlink r:id="rId115">
              <w:r>
                <w:rPr>
                  <w:rFonts w:ascii="Arial" w:cs="Arial" w:eastAsia="Arial" w:hAnsi="Arial"/>
                  <w:sz w:val="18"/>
                  <w:szCs w:val="18"/>
                  <w:color w:val="0000FF"/>
                  <w:w w:val="96"/>
                </w:rPr>
                <w:t>Eleventh Supplemental Indenture, dated April 1, 2021 by and between Energy Transfer LP, Regency Energy Finance Corp., and</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20" w:type="dxa"/>
            <w:vAlign w:val="bottom"/>
            <w:tcBorders>
              <w:top w:val="single" w:sz="8" w:color="0000FF"/>
            </w:tcBorders>
            <w:gridSpan w:val="29"/>
          </w:tcPr>
          <w:p>
            <w:pPr>
              <w:spacing w:after="0" w:line="156" w:lineRule="exact"/>
              <w:rPr>
                <w:rFonts w:ascii="Arial" w:cs="Arial" w:eastAsia="Arial" w:hAnsi="Arial"/>
                <w:sz w:val="18"/>
                <w:szCs w:val="18"/>
                <w:color w:val="0000FF"/>
                <w:w w:val="98"/>
              </w:rPr>
            </w:pPr>
            <w:hyperlink r:id="rId115">
              <w:r>
                <w:rPr>
                  <w:rFonts w:ascii="Arial" w:cs="Arial" w:eastAsia="Arial" w:hAnsi="Arial"/>
                  <w:sz w:val="18"/>
                  <w:szCs w:val="18"/>
                  <w:color w:val="0000FF"/>
                  <w:w w:val="98"/>
                </w:rPr>
                <w:t>Wells Fargo Bank, National Association (incorporated by reference to Exhibit 10.6 of Form 8-K (File No. 1-32740) filed April 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15">
              <w:r>
                <w:rPr>
                  <w:rFonts w:ascii="Arial" w:cs="Arial" w:eastAsia="Arial" w:hAnsi="Arial"/>
                  <w:sz w:val="18"/>
                  <w:szCs w:val="18"/>
                  <w:color w:val="0000FF"/>
                  <w:w w:val="86"/>
                </w:rPr>
                <w:t>2021)</w:t>
              </w:r>
            </w:hyperlink>
          </w:p>
        </w:tc>
        <w:tc>
          <w:tcPr>
            <w:tcW w:w="9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w w:val="97"/>
              </w:rPr>
            </w:pPr>
            <w:hyperlink r:id="rId116">
              <w:r>
                <w:rPr>
                  <w:rFonts w:ascii="Arial" w:cs="Arial" w:eastAsia="Arial" w:hAnsi="Arial"/>
                  <w:sz w:val="18"/>
                  <w:szCs w:val="18"/>
                  <w:color w:val="0000FF"/>
                  <w:w w:val="97"/>
                </w:rPr>
                <w:t>Twelfth Supplemental Indenture, dated April 1, 2021 by and between Energy Transfer LP, Regency Energy Finance Corp., and</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Arial" w:cs="Arial" w:eastAsia="Arial" w:hAnsi="Arial"/>
                <w:sz w:val="18"/>
                <w:szCs w:val="18"/>
                <w:color w:val="0000FF"/>
                <w:w w:val="97"/>
              </w:rPr>
            </w:pPr>
            <w:hyperlink r:id="rId116">
              <w:r>
                <w:rPr>
                  <w:rFonts w:ascii="Arial" w:cs="Arial" w:eastAsia="Arial" w:hAnsi="Arial"/>
                  <w:sz w:val="18"/>
                  <w:szCs w:val="18"/>
                  <w:color w:val="0000FF"/>
                  <w:w w:val="97"/>
                </w:rPr>
                <w:t>Wells Fargo Bank, National Association (incorporated by reference to Exhibit 10.7 of Form 8-K (File No. 1-32740) filed April 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16">
              <w:r>
                <w:rPr>
                  <w:rFonts w:ascii="Arial" w:cs="Arial" w:eastAsia="Arial" w:hAnsi="Arial"/>
                  <w:sz w:val="18"/>
                  <w:szCs w:val="18"/>
                  <w:color w:val="0000FF"/>
                  <w:w w:val="86"/>
                </w:rPr>
                <w:t>2021)</w:t>
              </w:r>
            </w:hyperlink>
          </w:p>
        </w:tc>
        <w:tc>
          <w:tcPr>
            <w:tcW w:w="9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8"/>
                <w:szCs w:val="18"/>
                <w:color w:val="auto"/>
              </w:rPr>
              <w:t>10.10+</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w w:val="99"/>
              </w:rPr>
            </w:pPr>
            <w:hyperlink r:id="rId117">
              <w:r>
                <w:rPr>
                  <w:rFonts w:ascii="Arial" w:cs="Arial" w:eastAsia="Arial" w:hAnsi="Arial"/>
                  <w:sz w:val="18"/>
                  <w:szCs w:val="18"/>
                  <w:color w:val="0000FF"/>
                  <w:w w:val="99"/>
                </w:rPr>
                <w:t>First Amendment to the Amended and Restated Energy Transfer LP Long-Term Incentive Plan (incorporated by reference to</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Exhibit 10.7 of Form 10-K (File No. 1-32740) filed February 19, 2021)</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8"/>
                <w:szCs w:val="18"/>
                <w:color w:val="auto"/>
              </w:rPr>
              <w:t>10.11+</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w w:val="96"/>
              </w:rPr>
            </w:pPr>
            <w:hyperlink r:id="rId118">
              <w:r>
                <w:rPr>
                  <w:rFonts w:ascii="Arial" w:cs="Arial" w:eastAsia="Arial" w:hAnsi="Arial"/>
                  <w:sz w:val="18"/>
                  <w:szCs w:val="18"/>
                  <w:color w:val="0000FF"/>
                  <w:w w:val="96"/>
                </w:rPr>
                <w:t>Second Amendment to the Amended and Restated Energy Transfer LP Long-Term Incentive Plan (incorporated by reference to</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Exhibit 10.1 to Form 8-K (File No. 1-32740) filed January 6,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8"/>
                <w:szCs w:val="18"/>
                <w:color w:val="auto"/>
              </w:rPr>
              <w:t>10.12+</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Energy Transfer LP Long-Term Cash Restricted Unit Plan (incorporated by reference to Exhibit 10.2 to Form 8-K (File No. 1-</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32740) filed January 6, 2021)</w:t>
              </w:r>
            </w:hyperlink>
          </w:p>
        </w:tc>
        <w:tc>
          <w:tcPr>
            <w:tcW w:w="75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8"/>
                <w:szCs w:val="18"/>
                <w:color w:val="auto"/>
              </w:rPr>
              <w:t>10.13+</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rPr>
            </w:pPr>
            <w:hyperlink r:id="rId120">
              <w:r>
                <w:rPr>
                  <w:rFonts w:ascii="Arial" w:cs="Arial" w:eastAsia="Arial" w:hAnsi="Arial"/>
                  <w:sz w:val="18"/>
                  <w:szCs w:val="18"/>
                  <w:color w:val="0000FF"/>
                </w:rPr>
                <w:t>Form of Cash Unit Award Agreement under the Energy Transfer LP Long-Term Cash Restricted Unit Plan (incorporated by</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reference to Exhibit 10.3 to Form 8-K (File No. 1-32740) filed January 6, 2021)</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18"/>
                <w:szCs w:val="18"/>
                <w:color w:val="auto"/>
              </w:rPr>
            </w:pPr>
          </w:p>
        </w:tc>
        <w:tc>
          <w:tcPr>
            <w:tcW w:w="34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63">
              <w:r>
                <w:rPr>
                  <w:rFonts w:ascii="Arial" w:cs="Arial" w:eastAsia="Arial" w:hAnsi="Arial"/>
                  <w:sz w:val="18"/>
                  <w:szCs w:val="18"/>
                  <w:color w:val="0000FF"/>
                  <w:w w:val="88"/>
                </w:rPr>
                <w:t>Issuers and Guarantors of Registered Securities</w:t>
              </w:r>
            </w:hyperlink>
          </w:p>
        </w:tc>
        <w:tc>
          <w:tcPr>
            <w:tcW w:w="2340" w:type="dxa"/>
            <w:vAlign w:val="bottom"/>
            <w:tcBorders>
              <w:top w:val="single" w:sz="8" w:color="0000FF"/>
            </w:tcBorders>
            <w:gridSpan w:val="4"/>
          </w:tcPr>
          <w:p>
            <w:pPr>
              <w:spacing w:after="0"/>
              <w:rPr>
                <w:sz w:val="18"/>
                <w:szCs w:val="18"/>
                <w:color w:val="auto"/>
              </w:rPr>
            </w:pPr>
          </w:p>
        </w:tc>
        <w:tc>
          <w:tcPr>
            <w:tcW w:w="410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 of Co-Chief Executive Officer pursuant to Rule 13a-14(a) or 15d-14(a) of the Securities Exchange Act of 1934</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64">
              <w:r>
                <w:rPr>
                  <w:rFonts w:ascii="Arial" w:cs="Arial" w:eastAsia="Arial" w:hAnsi="Arial"/>
                  <w:sz w:val="18"/>
                  <w:szCs w:val="18"/>
                  <w:color w:val="0000FF"/>
                </w:rPr>
                <w:t>pursuant to Section 302 of the Sarbanes-Oxley Act of 2002</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40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Certification of Co-Chief Executive Officer pursuant to Rule 13a-14(a) or 15d-14(a) of the Securities Exchange Act of 1934</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65">
              <w:r>
                <w:rPr>
                  <w:rFonts w:ascii="Arial" w:cs="Arial" w:eastAsia="Arial" w:hAnsi="Arial"/>
                  <w:sz w:val="18"/>
                  <w:szCs w:val="18"/>
                  <w:color w:val="0000FF"/>
                </w:rPr>
                <w:t>pursuant to Section 302 of the Sarbanes-Oxley Act of 2002</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40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Arial" w:cs="Arial" w:eastAsia="Arial" w:hAnsi="Arial"/>
                <w:sz w:val="18"/>
                <w:szCs w:val="18"/>
                <w:color w:val="auto"/>
              </w:rPr>
              <w:t>31.3*</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w w:val="95"/>
              </w:rPr>
            </w:pPr>
            <w:hyperlink w:anchor="page66">
              <w:r>
                <w:rPr>
                  <w:rFonts w:ascii="Arial" w:cs="Arial" w:eastAsia="Arial" w:hAnsi="Arial"/>
                  <w:sz w:val="18"/>
                  <w:szCs w:val="18"/>
                  <w:color w:val="0000FF"/>
                  <w:w w:val="95"/>
                </w:rPr>
                <w:t>Certification of Chief Financial Officer pursuant to Rule 13a-14(a) or 15d-14(a) of the Securities Exchange Act of 1934 pursuant to</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Section 302 of the Sarbanes-Oxley Act of 2002</w:t>
              </w:r>
            </w:hyperlink>
          </w:p>
        </w:tc>
        <w:tc>
          <w:tcPr>
            <w:tcW w:w="624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Certification of Co-Chief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Sarbanes-Oxley Act of 2002</w:t>
              </w:r>
            </w:hyperlink>
          </w:p>
        </w:tc>
        <w:tc>
          <w:tcPr>
            <w:tcW w:w="7640" w:type="dxa"/>
            <w:vAlign w:val="bottom"/>
            <w:tcBorders>
              <w:top w:val="single" w:sz="8" w:color="0000FF"/>
            </w:tcBorders>
            <w:gridSpan w:val="20"/>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Certification of Co-Chief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68">
              <w:r>
                <w:rPr>
                  <w:rFonts w:ascii="Arial" w:cs="Arial" w:eastAsia="Arial" w:hAnsi="Arial"/>
                  <w:sz w:val="18"/>
                  <w:szCs w:val="18"/>
                  <w:color w:val="0000FF"/>
                  <w:w w:val="90"/>
                </w:rPr>
                <w:t>Sarbanes-Oxley Act of 2002</w:t>
              </w:r>
            </w:hyperlink>
          </w:p>
        </w:tc>
        <w:tc>
          <w:tcPr>
            <w:tcW w:w="7640" w:type="dxa"/>
            <w:vAlign w:val="bottom"/>
            <w:tcBorders>
              <w:top w:val="single" w:sz="8" w:color="0000FF"/>
            </w:tcBorders>
            <w:gridSpan w:val="20"/>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Arial" w:cs="Arial" w:eastAsia="Arial" w:hAnsi="Arial"/>
                <w:sz w:val="18"/>
                <w:szCs w:val="18"/>
                <w:color w:val="auto"/>
              </w:rPr>
              <w:t>32.3**</w:t>
            </w:r>
          </w:p>
        </w:tc>
        <w:tc>
          <w:tcPr>
            <w:tcW w:w="360" w:type="dxa"/>
            <w:vAlign w:val="bottom"/>
          </w:tcPr>
          <w:p>
            <w:pPr>
              <w:spacing w:after="0"/>
              <w:rPr>
                <w:sz w:val="18"/>
                <w:szCs w:val="18"/>
                <w:color w:val="auto"/>
              </w:rPr>
            </w:pPr>
          </w:p>
        </w:tc>
        <w:tc>
          <w:tcPr>
            <w:tcW w:w="9860" w:type="dxa"/>
            <w:vAlign w:val="bottom"/>
            <w:gridSpan w:val="31"/>
          </w:tcPr>
          <w:p>
            <w:pPr>
              <w:spacing w:after="0"/>
              <w:rPr>
                <w:rFonts w:ascii="Arial" w:cs="Arial" w:eastAsia="Arial" w:hAnsi="Arial"/>
                <w:sz w:val="18"/>
                <w:szCs w:val="18"/>
                <w:color w:val="0000FF"/>
                <w:w w:val="96"/>
              </w:rPr>
            </w:pPr>
            <w:hyperlink w:anchor="page69">
              <w:r>
                <w:rPr>
                  <w:rFonts w:ascii="Arial" w:cs="Arial" w:eastAsia="Arial" w:hAnsi="Arial"/>
                  <w:sz w:val="18"/>
                  <w:szCs w:val="18"/>
                  <w:color w:val="0000FF"/>
                  <w:w w:val="96"/>
                </w:rPr>
                <w:t>Certification of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4"/>
              </w:rPr>
            </w:pPr>
            <w:hyperlink w:anchor="page69">
              <w:r>
                <w:rPr>
                  <w:rFonts w:ascii="Arial" w:cs="Arial" w:eastAsia="Arial" w:hAnsi="Arial"/>
                  <w:sz w:val="18"/>
                  <w:szCs w:val="18"/>
                  <w:color w:val="0000FF"/>
                  <w:w w:val="94"/>
                </w:rPr>
                <w:t>Oxley Act of 2002</w:t>
              </w:r>
            </w:hyperlink>
          </w:p>
        </w:tc>
        <w:tc>
          <w:tcPr>
            <w:tcW w:w="8420" w:type="dxa"/>
            <w:vAlign w:val="bottom"/>
            <w:tcBorders>
              <w:top w:val="single" w:sz="8" w:color="0000FF"/>
            </w:tcBorders>
            <w:gridSpan w:val="2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9860" w:type="dxa"/>
            <w:vAlign w:val="bottom"/>
            <w:gridSpan w:val="31"/>
          </w:tcPr>
          <w:p>
            <w:pPr>
              <w:spacing w:after="0"/>
              <w:rPr>
                <w:sz w:val="20"/>
                <w:szCs w:val="20"/>
                <w:color w:val="auto"/>
              </w:rPr>
            </w:pPr>
            <w:r>
              <w:rPr>
                <w:rFonts w:ascii="Arial" w:cs="Arial" w:eastAsia="Arial" w:hAnsi="Arial"/>
                <w:sz w:val="18"/>
                <w:szCs w:val="18"/>
                <w:color w:val="auto"/>
                <w:w w:val="99"/>
              </w:rPr>
              <w:t>Interactive data files pursuant to Rule 405 of Regulation S-T: (i) our Consolidated Balance Sheets as of March 31, 2021 and</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gridSpan w:val="31"/>
          </w:tcPr>
          <w:p>
            <w:pPr>
              <w:spacing w:after="0" w:line="176" w:lineRule="exact"/>
              <w:rPr>
                <w:sz w:val="20"/>
                <w:szCs w:val="20"/>
                <w:color w:val="auto"/>
              </w:rPr>
            </w:pPr>
            <w:r>
              <w:rPr>
                <w:rFonts w:ascii="Arial" w:cs="Arial" w:eastAsia="Arial" w:hAnsi="Arial"/>
                <w:sz w:val="18"/>
                <w:szCs w:val="18"/>
                <w:color w:val="auto"/>
                <w:w w:val="95"/>
              </w:rPr>
              <w:t>December 31, 2020; (ii) our Consolidated Statements of Operations for the three months ended March 31, 2021 and 2020; (iii) our</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gridSpan w:val="31"/>
          </w:tcPr>
          <w:p>
            <w:pPr>
              <w:spacing w:after="0" w:line="176" w:lineRule="exact"/>
              <w:rPr>
                <w:sz w:val="20"/>
                <w:szCs w:val="20"/>
                <w:color w:val="auto"/>
              </w:rPr>
            </w:pPr>
            <w:r>
              <w:rPr>
                <w:rFonts w:ascii="Arial" w:cs="Arial" w:eastAsia="Arial" w:hAnsi="Arial"/>
                <w:sz w:val="18"/>
                <w:szCs w:val="18"/>
                <w:color w:val="auto"/>
              </w:rPr>
              <w:t>Consolidated Statements of Comprehensive Income (Loss) for the three months ended March 31, 2021 and 2020; (iv) our</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gridSpan w:val="31"/>
          </w:tcPr>
          <w:p>
            <w:pPr>
              <w:spacing w:after="0" w:line="176" w:lineRule="exact"/>
              <w:rPr>
                <w:sz w:val="20"/>
                <w:szCs w:val="20"/>
                <w:color w:val="auto"/>
              </w:rPr>
            </w:pPr>
            <w:r>
              <w:rPr>
                <w:rFonts w:ascii="Arial" w:cs="Arial" w:eastAsia="Arial" w:hAnsi="Arial"/>
                <w:sz w:val="18"/>
                <w:szCs w:val="18"/>
                <w:color w:val="auto"/>
                <w:w w:val="92"/>
              </w:rPr>
              <w:t>Consolidated Statements of Partners’ Capital for the three months ended March 31, 2021 and 2020; (v) our Consolidated Statements</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60" w:type="dxa"/>
            <w:vAlign w:val="bottom"/>
            <w:gridSpan w:val="31"/>
          </w:tcPr>
          <w:p>
            <w:pPr>
              <w:spacing w:after="0"/>
              <w:rPr>
                <w:sz w:val="20"/>
                <w:szCs w:val="20"/>
                <w:color w:val="auto"/>
              </w:rPr>
            </w:pPr>
            <w:r>
              <w:rPr>
                <w:rFonts w:ascii="Arial" w:cs="Arial" w:eastAsia="Arial" w:hAnsi="Arial"/>
                <w:sz w:val="18"/>
                <w:szCs w:val="18"/>
                <w:color w:val="auto"/>
                <w:w w:val="95"/>
              </w:rPr>
              <w:t>of Cash Flows for the three months ended March 31, 2021 and 2020; and (vi) the notes to our Consolidated Financial Statements.</w:t>
            </w:r>
          </w:p>
        </w:tc>
        <w:tc>
          <w:tcPr>
            <w:tcW w:w="0" w:type="dxa"/>
            <w:vAlign w:val="bottom"/>
          </w:tcPr>
          <w:p>
            <w:pPr>
              <w:spacing w:after="0"/>
              <w:rPr>
                <w:sz w:val="1"/>
                <w:szCs w:val="1"/>
                <w:color w:val="auto"/>
              </w:rPr>
            </w:pPr>
          </w:p>
        </w:tc>
      </w:tr>
      <w:tr>
        <w:trPr>
          <w:trHeight w:val="268"/>
        </w:trPr>
        <w:tc>
          <w:tcPr>
            <w:tcW w:w="1280" w:type="dxa"/>
            <w:vAlign w:val="bottom"/>
          </w:tcPr>
          <w:p>
            <w:pPr>
              <w:ind w:left="2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3"/>
                <w:szCs w:val="23"/>
                <w:color w:val="auto"/>
              </w:rPr>
            </w:pPr>
          </w:p>
        </w:tc>
        <w:tc>
          <w:tcPr>
            <w:tcW w:w="9860" w:type="dxa"/>
            <w:vAlign w:val="bottom"/>
            <w:gridSpan w:val="3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60" w:type="dxa"/>
            <w:vAlign w:val="bottom"/>
            <w:gridSpan w:val="31"/>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60" w:type="dxa"/>
            <w:vAlign w:val="bottom"/>
            <w:gridSpan w:val="31"/>
          </w:tcPr>
          <w:p>
            <w:pPr>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60" w:type="dxa"/>
            <w:vAlign w:val="bottom"/>
            <w:gridSpan w:val="31"/>
          </w:tcPr>
          <w:p>
            <w:pPr>
              <w:spacing w:after="0"/>
              <w:rPr>
                <w:sz w:val="20"/>
                <w:szCs w:val="20"/>
                <w:color w:val="auto"/>
              </w:rPr>
            </w:pPr>
            <w:r>
              <w:rPr>
                <w:rFonts w:ascii="Arial" w:cs="Arial" w:eastAsia="Arial" w:hAnsi="Arial"/>
                <w:sz w:val="18"/>
                <w:szCs w:val="18"/>
                <w:color w:val="auto"/>
              </w:rPr>
              <w:t>Denotes a management contract or compensatory agreement</w:t>
            </w:r>
          </w:p>
        </w:tc>
        <w:tc>
          <w:tcPr>
            <w:tcW w:w="0" w:type="dxa"/>
            <w:vAlign w:val="bottom"/>
          </w:tcPr>
          <w:p>
            <w:pPr>
              <w:spacing w:after="0"/>
              <w:rPr>
                <w:sz w:val="1"/>
                <w:szCs w:val="1"/>
                <w:color w:val="auto"/>
              </w:rPr>
            </w:pPr>
          </w:p>
        </w:tc>
      </w:tr>
      <w:tr>
        <w:trPr>
          <w:trHeight w:val="850"/>
        </w:trPr>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60" w:type="dxa"/>
            <w:vAlign w:val="bottom"/>
            <w:gridSpan w:val="7"/>
          </w:tcPr>
          <w:p>
            <w:pPr>
              <w:ind w:left="3900"/>
              <w:spacing w:after="0"/>
              <w:rPr>
                <w:sz w:val="20"/>
                <w:szCs w:val="20"/>
                <w:color w:val="auto"/>
              </w:rPr>
            </w:pPr>
            <w:r>
              <w:rPr>
                <w:rFonts w:ascii="Arial" w:cs="Arial" w:eastAsia="Arial" w:hAnsi="Arial"/>
                <w:sz w:val="18"/>
                <w:szCs w:val="18"/>
                <w:color w:val="auto"/>
              </w:rPr>
              <w:t>57</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ENERGY TRANSFER LP</w:t>
      </w:r>
    </w:p>
    <w:p>
      <w:pPr>
        <w:spacing w:after="0" w:line="293" w:lineRule="exact"/>
        <w:rPr>
          <w:sz w:val="20"/>
          <w:szCs w:val="20"/>
          <w:color w:val="auto"/>
        </w:rPr>
      </w:pPr>
    </w:p>
    <w:p>
      <w:pPr>
        <w:ind w:left="514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LE GP, LLC, its general partner</w:t>
      </w:r>
    </w:p>
    <w:p>
      <w:pPr>
        <w:spacing w:after="0" w:line="293" w:lineRule="exact"/>
        <w:rPr>
          <w:sz w:val="20"/>
          <w:szCs w:val="20"/>
          <w:color w:val="auto"/>
        </w:rPr>
      </w:pPr>
    </w:p>
    <w:p>
      <w:pPr>
        <w:ind w:left="240"/>
        <w:spacing w:after="0"/>
        <w:tabs>
          <w:tab w:leader="none" w:pos="5120" w:val="left"/>
          <w:tab w:leader="none" w:pos="552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 Troy Sturrock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087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Troy Sturrock</w:t>
      </w:r>
    </w:p>
    <w:p>
      <w:pPr>
        <w:spacing w:after="0" w:line="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Senior Vice President, Controller and Principal Accounting Officer (duly</w:t>
      </w:r>
    </w:p>
    <w:p>
      <w:pPr>
        <w:ind w:left="5540"/>
        <w:spacing w:after="0"/>
        <w:rPr>
          <w:sz w:val="20"/>
          <w:szCs w:val="20"/>
          <w:color w:val="auto"/>
        </w:rPr>
      </w:pPr>
      <w:r>
        <w:rPr>
          <w:rFonts w:ascii="Arial" w:cs="Arial" w:eastAsia="Arial" w:hAnsi="Arial"/>
          <w:sz w:val="18"/>
          <w:szCs w:val="18"/>
          <w:color w:val="auto"/>
        </w:rPr>
        <w:t>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233" w:right="339" w:bottom="1440" w:gutter="0" w:footer="0" w:header="0"/>
        </w:sectPr>
      </w:pPr>
    </w:p>
    <w:bookmarkStart w:id="62" w:name="page63"/>
    <w:bookmarkEnd w:id="62"/>
    <w:p>
      <w:pPr>
        <w:ind w:left="10320"/>
        <w:spacing w:after="0"/>
        <w:rPr>
          <w:sz w:val="20"/>
          <w:szCs w:val="20"/>
          <w:color w:val="auto"/>
        </w:rPr>
      </w:pPr>
      <w:r>
        <w:rPr>
          <w:rFonts w:ascii="Arial" w:cs="Arial" w:eastAsia="Arial" w:hAnsi="Arial"/>
          <w:sz w:val="16"/>
          <w:szCs w:val="16"/>
          <w:b w:val="1"/>
          <w:bCs w:val="1"/>
          <w:color w:val="auto"/>
        </w:rPr>
        <w:t>Exhibit 22.1</w:t>
      </w:r>
    </w:p>
    <w:p>
      <w:pPr>
        <w:spacing w:after="0" w:line="275"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Subsidiary guarantors and issuers of guaranteed securities and affiliates whose securities collateralize securities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Sunoco LP Senior Notes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ind w:left="660"/>
        <w:spacing w:after="0"/>
        <w:rPr>
          <w:sz w:val="20"/>
          <w:szCs w:val="20"/>
          <w:color w:val="auto"/>
        </w:rPr>
      </w:pPr>
      <w:r>
        <w:rPr>
          <w:rFonts w:ascii="Arial" w:cs="Arial" w:eastAsia="Arial" w:hAnsi="Arial"/>
          <w:sz w:val="18"/>
          <w:szCs w:val="18"/>
          <w:color w:val="auto"/>
        </w:rPr>
        <w:t>Parent guarantor - Energy Transfer LP</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Subsidiary issuer - Sunoco LP</w:t>
      </w:r>
    </w:p>
    <w:p>
      <w:pPr>
        <w:spacing w:after="0" w:line="200" w:lineRule="exact"/>
        <w:rPr>
          <w:sz w:val="20"/>
          <w:szCs w:val="20"/>
          <w:color w:val="auto"/>
        </w:rPr>
      </w:pPr>
    </w:p>
    <w:p>
      <w:pPr>
        <w:spacing w:after="0" w:line="254" w:lineRule="exact"/>
        <w:rPr>
          <w:sz w:val="20"/>
          <w:szCs w:val="20"/>
          <w:color w:val="auto"/>
        </w:rPr>
      </w:pPr>
    </w:p>
    <w:p>
      <w:pPr>
        <w:ind w:left="660" w:right="100" w:hanging="652"/>
        <w:spacing w:after="0" w:line="277" w:lineRule="auto"/>
        <w:tabs>
          <w:tab w:leader="none" w:pos="4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Energy Transfer LP assumed the guarantee of certain Sunoco LP Senior Notes in connection with the merger of Energy Transfer Operating, L.P. with and into Energy Transfer LP effective April 1, 2021.</w:t>
      </w:r>
    </w:p>
    <w:p>
      <w:pPr>
        <w:sectPr>
          <w:pgSz w:w="11900" w:h="16838" w:orient="portrait"/>
          <w:cols w:equalWidth="0" w:num="1">
            <w:col w:w="11240"/>
          </w:cols>
          <w:pgMar w:left="320" w:top="89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Marshall S. McCrea, III, certify that:</w:t>
      </w:r>
    </w:p>
    <w:p>
      <w:pPr>
        <w:spacing w:after="0" w:line="117" w:lineRule="exact"/>
        <w:rPr>
          <w:sz w:val="20"/>
          <w:szCs w:val="20"/>
          <w:color w:val="auto"/>
        </w:rPr>
      </w:pPr>
    </w:p>
    <w:p>
      <w:pPr>
        <w:ind w:left="820" w:hanging="812"/>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Energy Transfer LP;</w:t>
      </w:r>
    </w:p>
    <w:p>
      <w:pPr>
        <w:spacing w:after="0" w:line="117" w:lineRule="exact"/>
        <w:rPr>
          <w:rFonts w:ascii="Arial" w:cs="Arial" w:eastAsia="Arial" w:hAnsi="Arial"/>
          <w:sz w:val="18"/>
          <w:szCs w:val="18"/>
          <w:color w:val="auto"/>
        </w:rPr>
      </w:pPr>
    </w:p>
    <w:p>
      <w:pPr>
        <w:jc w:val="both"/>
        <w:ind w:left="820" w:hanging="812"/>
        <w:spacing w:after="0" w:line="263"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820" w:hanging="812"/>
        <w:spacing w:after="0" w:line="308" w:lineRule="auto"/>
        <w:tabs>
          <w:tab w:leader="none" w:pos="8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820" w:hanging="812"/>
        <w:spacing w:after="0" w:line="291" w:lineRule="auto"/>
        <w:tabs>
          <w:tab w:leader="none" w:pos="8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jc w:val="both"/>
        <w:ind w:left="1460" w:hanging="642"/>
        <w:spacing w:after="0" w:line="263" w:lineRule="auto"/>
        <w:tabs>
          <w:tab w:leader="none" w:pos="1450" w:val="left"/>
        </w:tabs>
        <w:numPr>
          <w:ilvl w:val="2"/>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642"/>
        <w:spacing w:after="0" w:line="263" w:lineRule="auto"/>
        <w:tabs>
          <w:tab w:leader="none" w:pos="14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642"/>
        <w:spacing w:after="0" w:line="342" w:lineRule="auto"/>
        <w:tabs>
          <w:tab w:leader="none" w:pos="1450" w:val="left"/>
        </w:tabs>
        <w:numPr>
          <w:ilvl w:val="2"/>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460" w:hanging="642"/>
        <w:spacing w:after="0" w:line="263" w:lineRule="auto"/>
        <w:tabs>
          <w:tab w:leader="none" w:pos="14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820" w:hanging="650"/>
        <w:spacing w:after="0" w:line="342" w:lineRule="auto"/>
        <w:tabs>
          <w:tab w:leader="none" w:pos="8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hanging="642"/>
        <w:spacing w:after="0" w:line="308" w:lineRule="auto"/>
        <w:tabs>
          <w:tab w:leader="none" w:pos="1450" w:val="left"/>
        </w:tabs>
        <w:numPr>
          <w:ilvl w:val="2"/>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460" w:hanging="642"/>
        <w:spacing w:after="0" w:line="277" w:lineRule="auto"/>
        <w:tabs>
          <w:tab w:leader="none" w:pos="14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33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Marshall S. McCrea, III</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E. Long, certify that:</w:t>
      </w:r>
    </w:p>
    <w:p>
      <w:pPr>
        <w:spacing w:after="0" w:line="117" w:lineRule="exact"/>
        <w:rPr>
          <w:sz w:val="20"/>
          <w:szCs w:val="20"/>
          <w:color w:val="auto"/>
        </w:rPr>
      </w:pPr>
    </w:p>
    <w:p>
      <w:pPr>
        <w:ind w:left="820" w:hanging="812"/>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Energy Transfer LP;</w:t>
      </w:r>
    </w:p>
    <w:p>
      <w:pPr>
        <w:spacing w:after="0" w:line="117" w:lineRule="exact"/>
        <w:rPr>
          <w:rFonts w:ascii="Arial" w:cs="Arial" w:eastAsia="Arial" w:hAnsi="Arial"/>
          <w:sz w:val="18"/>
          <w:szCs w:val="18"/>
          <w:color w:val="auto"/>
        </w:rPr>
      </w:pPr>
    </w:p>
    <w:p>
      <w:pPr>
        <w:jc w:val="both"/>
        <w:ind w:left="820" w:hanging="812"/>
        <w:spacing w:after="0" w:line="263"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820" w:hanging="812"/>
        <w:spacing w:after="0" w:line="308" w:lineRule="auto"/>
        <w:tabs>
          <w:tab w:leader="none" w:pos="8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820" w:hanging="812"/>
        <w:spacing w:after="0" w:line="291" w:lineRule="auto"/>
        <w:tabs>
          <w:tab w:leader="none" w:pos="8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jc w:val="both"/>
        <w:ind w:left="1460" w:hanging="642"/>
        <w:spacing w:after="0" w:line="263" w:lineRule="auto"/>
        <w:tabs>
          <w:tab w:leader="none" w:pos="1450" w:val="left"/>
        </w:tabs>
        <w:numPr>
          <w:ilvl w:val="2"/>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642"/>
        <w:spacing w:after="0" w:line="263" w:lineRule="auto"/>
        <w:tabs>
          <w:tab w:leader="none" w:pos="14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642"/>
        <w:spacing w:after="0" w:line="342" w:lineRule="auto"/>
        <w:tabs>
          <w:tab w:leader="none" w:pos="1450" w:val="left"/>
        </w:tabs>
        <w:numPr>
          <w:ilvl w:val="2"/>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460" w:hanging="642"/>
        <w:spacing w:after="0" w:line="263" w:lineRule="auto"/>
        <w:tabs>
          <w:tab w:leader="none" w:pos="14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820" w:hanging="650"/>
        <w:spacing w:after="0" w:line="342" w:lineRule="auto"/>
        <w:tabs>
          <w:tab w:leader="none" w:pos="8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hanging="642"/>
        <w:spacing w:after="0" w:line="308" w:lineRule="auto"/>
        <w:tabs>
          <w:tab w:leader="none" w:pos="1450" w:val="left"/>
        </w:tabs>
        <w:numPr>
          <w:ilvl w:val="2"/>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460" w:hanging="642"/>
        <w:spacing w:after="0" w:line="277" w:lineRule="auto"/>
        <w:tabs>
          <w:tab w:leader="none" w:pos="14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33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Thomas E. Long</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Bradford D. Whitehurst, certify that:</w:t>
      </w:r>
    </w:p>
    <w:p>
      <w:pPr>
        <w:spacing w:after="0" w:line="117" w:lineRule="exact"/>
        <w:rPr>
          <w:sz w:val="20"/>
          <w:szCs w:val="20"/>
          <w:color w:val="auto"/>
        </w:rPr>
      </w:pPr>
    </w:p>
    <w:p>
      <w:pPr>
        <w:ind w:left="820" w:hanging="812"/>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Energy Transfer LP;</w:t>
      </w:r>
    </w:p>
    <w:p>
      <w:pPr>
        <w:spacing w:after="0" w:line="117" w:lineRule="exact"/>
        <w:rPr>
          <w:rFonts w:ascii="Arial" w:cs="Arial" w:eastAsia="Arial" w:hAnsi="Arial"/>
          <w:sz w:val="18"/>
          <w:szCs w:val="18"/>
          <w:color w:val="auto"/>
        </w:rPr>
      </w:pPr>
    </w:p>
    <w:p>
      <w:pPr>
        <w:jc w:val="both"/>
        <w:ind w:left="820" w:hanging="812"/>
        <w:spacing w:after="0" w:line="263"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820" w:hanging="812"/>
        <w:spacing w:after="0" w:line="308" w:lineRule="auto"/>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820" w:hanging="812"/>
        <w:spacing w:after="0" w:line="291" w:lineRule="auto"/>
        <w:tabs>
          <w:tab w:leader="none" w:pos="8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jc w:val="both"/>
        <w:ind w:left="1460" w:hanging="642"/>
        <w:spacing w:after="0" w:line="263" w:lineRule="auto"/>
        <w:tabs>
          <w:tab w:leader="none" w:pos="1450" w:val="left"/>
        </w:tabs>
        <w:numPr>
          <w:ilvl w:val="2"/>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642"/>
        <w:spacing w:after="0" w:line="263" w:lineRule="auto"/>
        <w:tabs>
          <w:tab w:leader="none" w:pos="14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642"/>
        <w:spacing w:after="0" w:line="342" w:lineRule="auto"/>
        <w:tabs>
          <w:tab w:leader="none" w:pos="1450" w:val="left"/>
        </w:tabs>
        <w:numPr>
          <w:ilvl w:val="2"/>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460" w:hanging="642"/>
        <w:spacing w:after="0" w:line="263" w:lineRule="auto"/>
        <w:tabs>
          <w:tab w:leader="none" w:pos="14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820" w:hanging="650"/>
        <w:spacing w:after="0" w:line="342" w:lineRule="auto"/>
        <w:tabs>
          <w:tab w:leader="none" w:pos="8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hanging="642"/>
        <w:spacing w:after="0" w:line="308" w:lineRule="auto"/>
        <w:tabs>
          <w:tab w:leader="none" w:pos="1450" w:val="left"/>
        </w:tabs>
        <w:numPr>
          <w:ilvl w:val="2"/>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460" w:hanging="642"/>
        <w:spacing w:after="0" w:line="277" w:lineRule="auto"/>
        <w:tabs>
          <w:tab w:leader="none" w:pos="14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33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Bradford D. Whitehurst</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Energy Transfer LP (the “Partnership”) on Form 10-Q for the quarter ended March 31, 2021, as filed with the Securities and Exchange Commission on the date hereof (the “Report”), I, Marshall S. McCrea, III, Co-Chief Executive Officer, certify, pursuant to 18 U.S.C. Section 1350, as adopted pursuant to Section 906 of the Sarbanes-Oxley Act of 2002, that to the best of my knowledge:</w:t>
      </w:r>
    </w:p>
    <w:p>
      <w:pPr>
        <w:spacing w:after="0" w:line="57" w:lineRule="exact"/>
        <w:rPr>
          <w:sz w:val="20"/>
          <w:szCs w:val="20"/>
          <w:color w:val="auto"/>
        </w:rPr>
      </w:pPr>
    </w:p>
    <w:p>
      <w:pPr>
        <w:ind w:left="980" w:hanging="648"/>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980" w:hanging="648"/>
        <w:spacing w:after="0" w:line="277" w:lineRule="auto"/>
        <w:tabs>
          <w:tab w:leader="none" w:pos="97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34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Marshall S. McCrea, III</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Co-Chief Executive Officer</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Energy Transfer LP and furnished to the Securities and Exchange Commission upon request.</w:t>
      </w:r>
    </w:p>
    <w:p>
      <w:pPr>
        <w:sectPr>
          <w:pgSz w:w="11900" w:h="16838" w:orient="portrait"/>
          <w:cols w:equalWidth="0" w:num="1">
            <w:col w:w="11240"/>
          </w:cols>
          <w:pgMar w:left="320" w:top="89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Energy Transfer LP (the “Partnership”) on Form 10-Q for the quarter ended March 31, 2021, as filed with the Securities and Exchange Commission on the date hereof (the “Report”), I, Thomas E. Long, Co-Chief Executive Officer, certify, pursuant to 18 U.S.C. Section 1350, as adopted pursuant to Section 906 of the Sarbanes-Oxley Act of 2002, that to the best of my knowledge:</w:t>
      </w:r>
    </w:p>
    <w:p>
      <w:pPr>
        <w:spacing w:after="0" w:line="71" w:lineRule="exact"/>
        <w:rPr>
          <w:sz w:val="20"/>
          <w:szCs w:val="20"/>
          <w:color w:val="auto"/>
        </w:rPr>
      </w:pPr>
    </w:p>
    <w:p>
      <w:pPr>
        <w:ind w:left="980" w:hanging="648"/>
        <w:spacing w:after="0"/>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980" w:hanging="648"/>
        <w:spacing w:after="0" w:line="277" w:lineRule="auto"/>
        <w:tabs>
          <w:tab w:leader="none" w:pos="9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34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Thomas E. Long</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Co-Chief Executive Officer</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Energy Transfer LP and furnished to the Securities and Exchange Commission upon request.</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Energy Transfer LP (the “Partnership”) on Form 10-Q for the quarter ended March 31, 2021, as filed with the Securities and Exchange Commission on the date hereof (the “Report”), I, Bradford D. Whitehurst, Chief Financial Officer, certify, pursuant to 18 U.S.C. Section 1350, as adopted pursuant to Section 906 of the Sarbanes-Oxley Act of 2002, that to the best of my knowledge:</w:t>
      </w:r>
    </w:p>
    <w:p>
      <w:pPr>
        <w:spacing w:after="0" w:line="57" w:lineRule="exact"/>
        <w:rPr>
          <w:sz w:val="20"/>
          <w:szCs w:val="20"/>
          <w:color w:val="auto"/>
        </w:rPr>
      </w:pPr>
    </w:p>
    <w:p>
      <w:pPr>
        <w:ind w:left="980" w:hanging="648"/>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980" w:hanging="648"/>
        <w:spacing w:after="0" w:line="277" w:lineRule="auto"/>
        <w:tabs>
          <w:tab w:leader="none" w:pos="97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34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Bradford D. Whitehurst</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Financial Officer</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Energy Transfer LP and furnished to the Securities and Exchange Commission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lvl w:ilvl="1">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2"/>
    </w:lvl>
  </w:abstractNum>
  <w:abstractNum w:abstractNumId="5">
    <w:nsid w:val="7C3DBD3D"/>
    <w:multiLevelType w:val="hybridMultilevel"/>
    <w:lvl w:ilvl="0">
      <w:lvlJc w:val="left"/>
      <w:lvlText w:val="%1."/>
      <w:numFmt w:val="decimal"/>
      <w:start w:val="4"/>
    </w:lvl>
  </w:abstractNum>
  <w:abstractNum w:abstractNumId="6">
    <w:nsid w:val="737B8DDC"/>
    <w:multiLevelType w:val="hybridMultilevel"/>
    <w:lvl w:ilvl="0">
      <w:lvlJc w:val="left"/>
      <w:lvlText w:val="%1."/>
      <w:numFmt w:val="decimal"/>
      <w:start w:val="5"/>
    </w:lvl>
  </w:abstractNum>
  <w:abstractNum w:abstractNumId="7">
    <w:nsid w:val="6CEAF087"/>
    <w:multiLevelType w:val="hybridMultilevel"/>
    <w:lvl w:ilvl="0">
      <w:lvlJc w:val="left"/>
      <w:lvlText w:val="%1."/>
      <w:numFmt w:val="decimal"/>
      <w:start w:val="6"/>
    </w:lvl>
  </w:abstractNum>
  <w:abstractNum w:abstractNumId="8">
    <w:nsid w:val="22221A70"/>
    <w:multiLevelType w:val="hybridMultilevel"/>
    <w:lvl w:ilvl="0">
      <w:lvlJc w:val="left"/>
      <w:lvlText w:val="%1"/>
      <w:numFmt w:val="decimal"/>
      <w:start w:val="1"/>
    </w:lvl>
    <w:lvl w:ilvl="1">
      <w:lvlJc w:val="left"/>
      <w:lvlText w:val="(%2)"/>
      <w:numFmt w:val="decimal"/>
      <w:start w:val="1"/>
    </w:lvl>
  </w:abstractNum>
  <w:abstractNum w:abstractNumId="9">
    <w:nsid w:val="4516DDE9"/>
    <w:multiLevelType w:val="hybridMultilevel"/>
    <w:lvl w:ilvl="0">
      <w:lvlJc w:val="left"/>
      <w:lvlText w:val="%1."/>
      <w:numFmt w:val="decimal"/>
      <w:start w:val="7"/>
    </w:lvl>
    <w:lvl w:ilvl="1">
      <w:lvlJc w:val="left"/>
      <w:lvlText w:val="%2"/>
      <w:numFmt w:val="decimal"/>
      <w:start w:val="1"/>
    </w:lvl>
  </w:abstractNum>
  <w:abstractNum w:abstractNumId="10">
    <w:nsid w:val="3006C83E"/>
    <w:multiLevelType w:val="hybridMultilevel"/>
    <w:lvl w:ilvl="0">
      <w:lvlJc w:val="left"/>
      <w:lvlText w:val="%1."/>
      <w:numFmt w:val="decimal"/>
      <w:start w:val="8"/>
    </w:lvl>
  </w:abstractNum>
  <w:abstractNum w:abstractNumId="11">
    <w:nsid w:val="614FD4A1"/>
    <w:multiLevelType w:val="hybridMultilevel"/>
    <w:lvl w:ilvl="0">
      <w:lvlJc w:val="left"/>
      <w:lvlText w:val="%1."/>
      <w:numFmt w:val="decimal"/>
      <w:start w:val="9"/>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decimal"/>
      <w:start w:val="10"/>
    </w:lvl>
  </w:abstractNum>
  <w:abstractNum w:abstractNumId="16">
    <w:nsid w:val="3804823E"/>
    <w:multiLevelType w:val="hybridMultilevel"/>
    <w:lvl w:ilvl="0">
      <w:lvlJc w:val="left"/>
      <w:lvlText w:val="&amp;"/>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2"/>
    </w:lvl>
  </w:abstractNum>
  <w:abstractNum w:abstractNumId="20">
    <w:nsid w:val="2463B9EA"/>
    <w:multiLevelType w:val="hybridMultilevel"/>
    <w:lvl w:ilvl="0">
      <w:lvlJc w:val="left"/>
      <w:lvlText w:val="%1."/>
      <w:numFmt w:val="decimal"/>
      <w:start w:val="13"/>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4"/>
    </w:lvl>
  </w:abstractNum>
  <w:abstractNum w:abstractNumId="24">
    <w:nsid w:val="580BD78F"/>
    <w:multiLevelType w:val="hybridMultilevel"/>
    <w:lvl w:ilvl="0">
      <w:lvlJc w:val="left"/>
      <w:lvlText w:val="%1."/>
      <w:numFmt w:val="decimal"/>
      <w:start w:val="15"/>
    </w:lvl>
    <w:lvl w:ilvl="1">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1">
    <w:nsid w:val="374A3FE6"/>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2">
    <w:nsid w:val="4F4EF00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91" Type="http://schemas.openxmlformats.org/officeDocument/2006/relationships/hyperlink" Target="https://www.sec.gov/Archives/edgar/data/1276187/000119312521105238/d141659ds4a.htm#tx141659_135" TargetMode="External"/><Relationship Id="rId92" Type="http://schemas.openxmlformats.org/officeDocument/2006/relationships/hyperlink" Target="https://www.sec.gov/Archives/edgar/data/1276187/000119312521071649/d151393dex21.htm" TargetMode="External"/><Relationship Id="rId93" Type="http://schemas.openxmlformats.org/officeDocument/2006/relationships/hyperlink" Target="https://www.sec.gov/Archives/edgar/data/1276187/000119312521104908/d123645dex21.htm" TargetMode="External"/><Relationship Id="rId94" Type="http://schemas.openxmlformats.org/officeDocument/2006/relationships/hyperlink" Target="https://www.sec.gov/Archives/edgar/data/1276187/000119312521104908/d123645dex22.htm" TargetMode="External"/><Relationship Id="rId95" Type="http://schemas.openxmlformats.org/officeDocument/2006/relationships/hyperlink" Target="http://www.sec.gov/Archives/edgar/data/1276187/000119312505179978/dex32.htm" TargetMode="External"/><Relationship Id="rId96" Type="http://schemas.openxmlformats.org/officeDocument/2006/relationships/hyperlink" Target="http://www.sec.gov/Archives/edgar/data/1276187/000119312518303169/d639079dex31.htm" TargetMode="External"/><Relationship Id="rId97" Type="http://schemas.openxmlformats.org/officeDocument/2006/relationships/hyperlink" Target="http://www.sec.gov/Archives/edgar/data/1276187/000119312506031657/dex31.htm" TargetMode="External"/><Relationship Id="rId98" Type="http://schemas.openxmlformats.org/officeDocument/2006/relationships/hyperlink" Target="http://www.sec.gov/Archives/edgar/data/1276187/000119312506243515/dex331.htm" TargetMode="External"/><Relationship Id="rId99" Type="http://schemas.openxmlformats.org/officeDocument/2006/relationships/hyperlink" Target="http://www.sec.gov/Archives/edgar/data/1276187/000095012907005609/h51447exv3w3w2.htm" TargetMode="External"/><Relationship Id="rId100" Type="http://schemas.openxmlformats.org/officeDocument/2006/relationships/hyperlink" Target="http://www.sec.gov/Archives/edgar/data/1276187/000095012310055206/h73441exv3w1.htm" TargetMode="External"/><Relationship Id="rId101" Type="http://schemas.openxmlformats.org/officeDocument/2006/relationships/hyperlink" Target="http://www.sec.gov/Archives/edgar/data/1276187/000119312513486360/d650558dex31.htm" TargetMode="External"/><Relationship Id="rId102" Type="http://schemas.openxmlformats.org/officeDocument/2006/relationships/hyperlink" Target="http://www.sec.gov/Archives/edgar/data/1276187/000119312516498562/d138318dex31.htm" TargetMode="External"/><Relationship Id="rId103" Type="http://schemas.openxmlformats.org/officeDocument/2006/relationships/hyperlink" Target="http://www.sec.gov/Archives/edgar/data/1276187/000127618718000066/ex39amendmentno6.htm" TargetMode="External"/><Relationship Id="rId104" Type="http://schemas.openxmlformats.org/officeDocument/2006/relationships/hyperlink" Target="http://www.sec.gov/Archives/edgar/data/1276187/000127618719000034/etex310amendmentno7.htm" TargetMode="External"/><Relationship Id="rId105" Type="http://schemas.openxmlformats.org/officeDocument/2006/relationships/hyperlink" Target="https://www.sec.gov/Archives/edgar/data/1276187/000119312521104908/d123645dex31.htm" TargetMode="External"/><Relationship Id="rId106" Type="http://schemas.openxmlformats.org/officeDocument/2006/relationships/hyperlink" Target="https://www.sec.gov/Archives/edgar/data/1276187/000119312521105238/d141659ds4a.htm#tx141659_136" TargetMode="External"/><Relationship Id="rId109" Type="http://schemas.openxmlformats.org/officeDocument/2006/relationships/hyperlink" Target="https://www.sec.gov/Archives/edgar/data/1276187/000119312521105238/d141659ds4a.htm#tx141659_137" TargetMode="External"/><Relationship Id="rId110" Type="http://schemas.openxmlformats.org/officeDocument/2006/relationships/hyperlink" Target="https://www.sec.gov/Archives/edgar/data/1276187/000119312521104908/d123645dex101.htm" TargetMode="External"/><Relationship Id="rId111" Type="http://schemas.openxmlformats.org/officeDocument/2006/relationships/hyperlink" Target="https://www.sec.gov/Archives/edgar/data/1276187/000119312521104908/d123645dex102.htm" TargetMode="External"/><Relationship Id="rId112" Type="http://schemas.openxmlformats.org/officeDocument/2006/relationships/hyperlink" Target="https://www.sec.gov/Archives/edgar/data/1276187/000119312521104908/d123645dex103.htm" TargetMode="External"/><Relationship Id="rId113" Type="http://schemas.openxmlformats.org/officeDocument/2006/relationships/hyperlink" Target="https://www.sec.gov/Archives/edgar/data/1276187/000119312521104908/d123645dex104.htm" TargetMode="External"/><Relationship Id="rId114" Type="http://schemas.openxmlformats.org/officeDocument/2006/relationships/hyperlink" Target="https://www.sec.gov/Archives/edgar/data/1276187/000119312521104908/d123645dex105.htm" TargetMode="External"/><Relationship Id="rId115" Type="http://schemas.openxmlformats.org/officeDocument/2006/relationships/hyperlink" Target="https://www.sec.gov/Archives/edgar/data/1276187/000119312521104908/d123645dex106.htm" TargetMode="External"/><Relationship Id="rId116" Type="http://schemas.openxmlformats.org/officeDocument/2006/relationships/hyperlink" Target="https://www.sec.gov/Archives/edgar/data/1276187/000119312521104908/d123645dex107.htm" TargetMode="External"/><Relationship Id="rId117" Type="http://schemas.openxmlformats.org/officeDocument/2006/relationships/hyperlink" Target="https://www.sec.gov/Archives/edgar/data/1276187/000127618721000034/et12312020ex102.htm" TargetMode="External"/><Relationship Id="rId118" Type="http://schemas.openxmlformats.org/officeDocument/2006/relationships/hyperlink" Target="https://www.sec.gov/Archives/edgar/data/1276187/000119312521003288/d104966dex101.htm" TargetMode="External"/><Relationship Id="rId119" Type="http://schemas.openxmlformats.org/officeDocument/2006/relationships/hyperlink" Target="https://www.sec.gov/Archives/edgar/data/1276187/000119312521003288/d104966dex102.htm" TargetMode="External"/><Relationship Id="rId120" Type="http://schemas.openxmlformats.org/officeDocument/2006/relationships/hyperlink" Target="https://www.sec.gov/Archives/edgar/data/1276187/000119312521003288/d10496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2021-05-07T10:50:20Z</dcterms:created>
  <dcterms:modified xsi:type="dcterms:W3CDTF">2021-05-07T10:50:20Z</dcterms:modified>
</cp:coreProperties>
</file>