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7574d424b5.htm"/>
        <w:bookmarkStart w:id="1" w:name="ksd77574d424b5"/>
        <w:bookmarkEnd w:id="0"/>
        <w:bookmarkEnd w:id="1"/>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Supplement is not complete and may be changed. This Preliminary Prospectus Supplement and the accompanying Prospectus are not an offer to sell these securities and we are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right"/>
        <w:rPr>
          <w:rFonts w:ascii="Times New Roman" w:hAnsi="Times New Roman"/>
          <w:b/>
          <w:sz w:val="20"/>
        </w:rPr>
      </w:pPr>
      <w:r>
        <w:rPr>
          <w:rFonts w:ascii="Times New Roman" w:hAnsi="Times New Roman"/>
          <w:b/>
          <w:sz w:val="20"/>
        </w:rPr>
        <w:t>Filed Pursuant to Rule 424(b)(5)</w:t>
        <w:br/>
        <w:t xml:space="preserve">Registration No. 333-279982 </w:t>
      </w:r>
    </w:p>
    <w:p>
      <w:pPr>
        <w:pStyle w:val="TextBody"/>
        <w:bidi w:val="0"/>
        <w:spacing w:before="0" w:after="0"/>
        <w:ind w:left="960" w:right="960" w:hanging="0"/>
        <w:jc w:val="center"/>
        <w:rPr>
          <w:rFonts w:ascii="Times New Roman" w:hAnsi="Times New Roman"/>
          <w:b/>
          <w:color w:val="FF4338"/>
          <w:sz w:val="18"/>
        </w:rPr>
      </w:pPr>
      <w:r>
        <w:rPr>
          <w:rFonts w:ascii="Times New Roman" w:hAnsi="Times New Roman"/>
          <w:b/>
          <w:color w:val="FF4338"/>
          <w:sz w:val="18"/>
        </w:rPr>
        <w:t xml:space="preserve">Subject to Completion, dated July 6, 2026 </w:t>
      </w:r>
    </w:p>
    <w:p>
      <w:pPr>
        <w:pStyle w:val="TextBody"/>
        <w:bidi w:val="0"/>
        <w:spacing w:before="120" w:after="0"/>
        <w:ind w:left="960" w:right="960" w:hanging="0"/>
        <w:jc w:val="left"/>
        <w:rPr>
          <w:rFonts w:ascii="Times New Roman" w:hAnsi="Times New Roman"/>
          <w:b/>
          <w:sz w:val="16"/>
        </w:rPr>
      </w:pPr>
      <w:r>
        <w:rPr>
          <w:rFonts w:ascii="Times New Roman" w:hAnsi="Times New Roman"/>
          <w:b/>
          <w:sz w:val="16"/>
        </w:rPr>
        <w:t xml:space="preserve">PRELIMINARY PROSPECTUS SUPPLEMENT </w:t>
      </w:r>
    </w:p>
    <w:p>
      <w:pPr>
        <w:pStyle w:val="TextBody"/>
        <w:bidi w:val="0"/>
        <w:spacing w:before="0" w:after="0"/>
        <w:ind w:left="960" w:right="960" w:hanging="0"/>
        <w:jc w:val="left"/>
        <w:rPr>
          <w:rFonts w:ascii="Times New Roman" w:hAnsi="Times New Roman"/>
          <w:b/>
          <w:sz w:val="16"/>
        </w:rPr>
      </w:pPr>
      <w:r>
        <w:rPr>
          <w:rFonts w:ascii="Times New Roman" w:hAnsi="Times New Roman"/>
          <w:b/>
          <w:sz w:val="16"/>
        </w:rPr>
        <w:t xml:space="preserve">(To prospectus dated June 5, 2024)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040255" cy="6178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0255" cy="617855"/>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40"/>
        </w:rPr>
      </w:pPr>
      <w:r>
        <w:rPr>
          <w:rFonts w:ascii="Times New Roman" w:hAnsi="Times New Roman"/>
          <w:b/>
          <w:sz w:val="40"/>
        </w:rPr>
        <w:t xml:space="preserve">Energy Transfer LP </w:t>
      </w:r>
    </w:p>
    <w:p>
      <w:pPr>
        <w:pStyle w:val="TextBody"/>
        <w:bidi w:val="0"/>
        <w:spacing w:before="120" w:after="0"/>
        <w:ind w:left="960" w:right="960" w:hanging="0"/>
        <w:jc w:val="center"/>
        <w:rPr>
          <w:rFonts w:ascii="Times New Roman" w:hAnsi="Times New Roman"/>
          <w:b/>
          <w:sz w:val="24"/>
        </w:rPr>
      </w:pPr>
      <w:r>
        <w:rPr>
          <w:rFonts w:ascii="Times New Roman" w:hAnsi="Times New Roman"/>
          <w:b/>
          <w:sz w:val="24"/>
        </w:rPr>
        <w:t xml:space="preserve">$    Series 2026A Junior Subordinated Notes due 2057 </w:t>
      </w:r>
    </w:p>
    <w:p>
      <w:pPr>
        <w:pStyle w:val="TextBody"/>
        <w:bidi w:val="0"/>
        <w:spacing w:before="120" w:after="0"/>
        <w:ind w:left="960" w:right="960" w:hanging="0"/>
        <w:jc w:val="center"/>
        <w:rPr>
          <w:rFonts w:ascii="Times New Roman" w:hAnsi="Times New Roman"/>
          <w:b/>
          <w:sz w:val="24"/>
        </w:rPr>
      </w:pPr>
      <w:r>
        <w:rPr>
          <w:rFonts w:ascii="Times New Roman" w:hAnsi="Times New Roman"/>
          <w:b/>
          <w:sz w:val="24"/>
        </w:rPr>
        <w:t xml:space="preserve">$    Series 2026B Junior Subordinated Notes due 2057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16"/>
        </w:rPr>
      </w:pPr>
      <w:r>
        <w:rPr>
          <w:rFonts w:ascii="Times New Roman" w:hAnsi="Times New Roman"/>
          <w:sz w:val="16"/>
        </w:rPr>
        <w:t xml:space="preserve">We are offering $    aggregate principal amount of fixed-to-fixed reset rate junior subordinated notes of the following series: $    aggregate principal amount of our Series 2026A Junior Subordinated Notes due 2057 (the “Series 2026A notes”) and $    aggregate principal amount of our Series 2026B Junior Subordinated Notes due 2057 (the “Series 2026B notes”). We refer to the Series 2026A notes and the Series 2026B notes, collectively, as the “notes.” </w:t>
      </w:r>
    </w:p>
    <w:p>
      <w:pPr>
        <w:pStyle w:val="TextBody"/>
        <w:bidi w:val="0"/>
        <w:spacing w:before="240" w:after="0"/>
        <w:ind w:left="960" w:right="960" w:hanging="0"/>
        <w:jc w:val="left"/>
        <w:rPr>
          <w:rFonts w:ascii="Times New Roman" w:hAnsi="Times New Roman"/>
          <w:sz w:val="16"/>
        </w:rPr>
      </w:pPr>
      <w:r>
        <w:rPr>
          <w:rFonts w:ascii="Times New Roman" w:hAnsi="Times New Roman"/>
          <w:sz w:val="16"/>
        </w:rPr>
        <w:t xml:space="preserve">The Series 2026A notes will bear interest (i) from and including the original issue date (as defined herein) to, but excluding, January 15, 2032 at the rate of   % per annum and (ii) from and including January 15, 2032, during each Reset Period (as defined herein) at a rate per annum equal to the Five-year U.S. Treasury Rate (as defined herein) as of the most recent Reset Interest Determination Date (as defined herein) plus a spread of   %, to be reset on each Reset Date (as defined herein). The Series 2026A notes will mature on January 15, 2057. </w:t>
      </w:r>
    </w:p>
    <w:p>
      <w:pPr>
        <w:pStyle w:val="TextBody"/>
        <w:bidi w:val="0"/>
        <w:spacing w:before="240" w:after="0"/>
        <w:ind w:left="960" w:right="960" w:hanging="0"/>
        <w:jc w:val="left"/>
        <w:rPr>
          <w:rFonts w:ascii="Times New Roman" w:hAnsi="Times New Roman"/>
          <w:sz w:val="16"/>
        </w:rPr>
      </w:pPr>
      <w:r>
        <w:rPr>
          <w:rFonts w:ascii="Times New Roman" w:hAnsi="Times New Roman"/>
          <w:sz w:val="16"/>
        </w:rPr>
        <w:t xml:space="preserve">The Series 2026B notes will bear interest (i) from and including the original issue date (as defined herein) to, but excluding, January 15, 2037 at the rate of   % per annum and (ii) from and including January 15, 2037, during each Reset Period (as defined herein) at a rate per annum equal to the Five-year U.S. Treasury Rate (as defined herein) as of the most recent Reset Interest Determination Date (as defined herein) plus a spread of   %, to be reset on each Reset Date (as defined herein). The Series 2026B notes will mature on January 15, 2057. </w:t>
      </w:r>
    </w:p>
    <w:p>
      <w:pPr>
        <w:pStyle w:val="TextBody"/>
        <w:bidi w:val="0"/>
        <w:spacing w:before="240" w:after="0"/>
        <w:ind w:left="960" w:right="960" w:hanging="0"/>
        <w:jc w:val="left"/>
        <w:rPr>
          <w:rFonts w:ascii="Times New Roman" w:hAnsi="Times New Roman"/>
          <w:sz w:val="16"/>
        </w:rPr>
      </w:pPr>
      <w:r>
        <w:rPr>
          <w:rFonts w:ascii="Times New Roman" w:hAnsi="Times New Roman"/>
          <w:sz w:val="16"/>
        </w:rPr>
        <w:t xml:space="preserve">Interest on the notes will accrue from and including    , 2026 and will be payable semi-annually on January 15 and July 15 of each year, beginning on January 15, 2027. </w:t>
      </w:r>
    </w:p>
    <w:p>
      <w:pPr>
        <w:pStyle w:val="TextBody"/>
        <w:bidi w:val="0"/>
        <w:spacing w:before="240" w:after="0"/>
        <w:ind w:left="960" w:right="960" w:hanging="0"/>
        <w:jc w:val="left"/>
        <w:rPr>
          <w:rFonts w:ascii="Times New Roman" w:hAnsi="Times New Roman"/>
          <w:sz w:val="16"/>
        </w:rPr>
      </w:pPr>
      <w:r>
        <w:rPr>
          <w:rFonts w:ascii="Times New Roman" w:hAnsi="Times New Roman"/>
          <w:sz w:val="16"/>
        </w:rPr>
        <w:t>The terms of each series of notes will provide that so long as no event of default (as defined herein) with respect to the notes of such series has occurred and is continuing, we may, at our option, defer interest payments on such series of notes, from time to time, for one or more deferral periods of up to 20 consecutive semi-annual Interest Payment Periods (as defined herein) applicable to such series of notes each. During any deferral period applicable to either series of notes, interest on such series of notes will continue to accrue at the then-applicable interest rate on the notes of such series (as reset from time to time on any Reset Date occurring during such deferral period in accordance with the terms of the notes of such series) and, in addition, interest on deferred interest will accrue at the then-applicable interest rate on the notes with respect to the notes of either series (as reset from time to time on any Reset Date occurring during such deferral period in accordance with the terms of the notes of such series), compounded semi-annually, to the extent permitted by applicable law. See “</w:t>
      </w:r>
      <w:r>
        <w:rPr>
          <w:rFonts w:ascii="Times New Roman" w:hAnsi="Times New Roman"/>
          <w:i/>
          <w:sz w:val="16"/>
        </w:rPr>
        <w:t>Description of the Notes—Option to Defer Interest Payments</w:t>
      </w:r>
      <w:r>
        <w:rPr>
          <w:rFonts w:ascii="Times New Roman" w:hAnsi="Times New Roman"/>
          <w:sz w:val="16"/>
        </w:rPr>
        <w:t xml:space="preserve">.” </w:t>
      </w:r>
    </w:p>
    <w:p>
      <w:pPr>
        <w:pStyle w:val="TextBody"/>
        <w:bidi w:val="0"/>
        <w:spacing w:before="240" w:after="0"/>
        <w:ind w:left="960" w:right="960" w:hanging="0"/>
        <w:jc w:val="left"/>
        <w:rPr>
          <w:rFonts w:ascii="Times New Roman" w:hAnsi="Times New Roman"/>
          <w:sz w:val="16"/>
        </w:rPr>
      </w:pPr>
      <w:r>
        <w:rPr>
          <w:rFonts w:ascii="Times New Roman" w:hAnsi="Times New Roman"/>
          <w:sz w:val="16"/>
        </w:rPr>
        <w:t xml:space="preserve">The terms of each series of notes will provide that at our option, we may redeem notes of such series at the times and at the applicable redemption prices described in this prospectus supplement. The notes will be our unsecured obligations and will rank junior and subordinate in right of payment to the prior payment in full of our existing and future Senior Indebtedness (as defined herein). The notes will rank equally in right of payment with our existing 2006 Series A Junior Subordinated Notes due 2066, our existing 8.000% Fixed-to-Fixed Reset Rate Junior Subordinated Notes due 2054, our existing 7.125% Fixed-to-Fixed Reset Rate Junior Subordinated Notes due 2054, our existing 6.500% Series 2025A Junior Subordinated Notes due 2056, our existing 6.750% Series 2025B Junior Subordinated Notes due 2056 and with any future unsecured indebtedness that we may incur from time to time if the terms of such indebtedness provide that it ranks equally with the notes in right of payment. None of our subsidiaries will guarantee the notes. </w:t>
      </w:r>
    </w:p>
    <w:p>
      <w:pPr>
        <w:pStyle w:val="TextBody"/>
        <w:bidi w:val="0"/>
        <w:spacing w:before="240" w:after="0"/>
        <w:ind w:left="960" w:right="960" w:hanging="0"/>
        <w:jc w:val="left"/>
        <w:rPr>
          <w:rFonts w:ascii="Times New Roman" w:hAnsi="Times New Roman"/>
          <w:sz w:val="16"/>
        </w:rPr>
      </w:pPr>
      <w:r>
        <w:rPr>
          <w:rFonts w:ascii="Times New Roman" w:hAnsi="Times New Roman"/>
          <w:sz w:val="16"/>
        </w:rPr>
        <w:t xml:space="preserve">The notes of each series are a new issue of securities with no established trading market. We do not intend to apply for the listing of the notes on any securities exchange or for the quotation of the notes on any automated dealer quotation system. </w:t>
      </w:r>
    </w:p>
    <w:p>
      <w:pPr>
        <w:pStyle w:val="TextBody"/>
        <w:bidi w:val="0"/>
        <w:spacing w:before="240" w:after="0"/>
        <w:ind w:left="960" w:right="960" w:hanging="0"/>
        <w:jc w:val="left"/>
        <w:rPr>
          <w:rFonts w:ascii="Times New Roman" w:hAnsi="Times New Roman"/>
          <w:b/>
          <w:sz w:val="16"/>
        </w:rPr>
      </w:pPr>
      <w:r>
        <w:rPr>
          <w:rFonts w:ascii="Times New Roman" w:hAnsi="Times New Roman"/>
          <w:b/>
          <w:sz w:val="16"/>
        </w:rPr>
        <w:t xml:space="preserve">Neither the Securities and Exchange Commission (the “SEC”) nor any state securities commission has approved or disapproved of these securities or determined if this prospectus supplement or the accompanying base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18"/>
        </w:rPr>
        <w:t>Investing in the notes involves risks. Please read “</w:t>
      </w:r>
      <w:hyperlink w:anchor="supprom77574_4">
        <w:r>
          <w:rPr>
            <w:rStyle w:val="InternetLink"/>
            <w:rFonts w:ascii="Times New Roman" w:hAnsi="Times New Roman"/>
            <w:b/>
            <w:i/>
            <w:sz w:val="18"/>
          </w:rPr>
          <w:t>Risk</w:t>
        </w:r>
      </w:hyperlink>
      <w:hyperlink w:anchor="supprom77574_4">
        <w:r>
          <w:rPr>
            <w:rStyle w:val="InternetLink"/>
            <w:rFonts w:ascii="Times New Roman" w:hAnsi="Times New Roman"/>
            <w:sz w:val="18"/>
          </w:rPr>
          <w:t xml:space="preserve"> </w:t>
        </w:r>
      </w:hyperlink>
      <w:hyperlink w:anchor="supprom77574_4">
        <w:r>
          <w:rPr>
            <w:rStyle w:val="InternetLink"/>
            <w:rFonts w:ascii="Times New Roman" w:hAnsi="Times New Roman"/>
            <w:b/>
            <w:i/>
            <w:sz w:val="18"/>
          </w:rPr>
          <w:t>Factors</w:t>
        </w:r>
      </w:hyperlink>
      <w:r>
        <w:rPr>
          <w:rFonts w:ascii="Times New Roman" w:hAnsi="Times New Roman"/>
          <w:sz w:val="18"/>
        </w:rPr>
        <w:t xml:space="preserve">” </w:t>
      </w:r>
      <w:r>
        <w:rPr>
          <w:rFonts w:ascii="Times New Roman" w:hAnsi="Times New Roman"/>
          <w:b/>
          <w:sz w:val="18"/>
        </w:rPr>
        <w:t xml:space="preserve">beginning on page S-8 of this prospectus supplement and on page 7 of the accompanying base prospectus. </w:t>
      </w:r>
    </w:p>
    <w:p>
      <w:pPr>
        <w:pStyle w:val="TextBody"/>
        <w:bidi w:val="0"/>
        <w:spacing w:before="0" w:after="0"/>
        <w:ind w:left="960" w:right="960" w:hanging="0"/>
        <w:jc w:val="left"/>
        <w:rPr/>
      </w:pPr>
      <w:r>
        <w:rPr/>
        <w:t> </w:t>
      </w:r>
    </w:p>
    <w:tbl>
      <w:tblPr>
        <w:tblW w:w="4600" w:type="pct"/>
        <w:jc w:val="center"/>
        <w:tblInd w:w="0" w:type="dxa"/>
        <w:tblLayout w:type="fixed"/>
        <w:tblCellMar>
          <w:top w:w="0" w:type="dxa"/>
          <w:left w:w="0" w:type="dxa"/>
          <w:bottom w:w="0" w:type="dxa"/>
          <w:right w:w="0" w:type="dxa"/>
        </w:tblCellMar>
      </w:tblPr>
      <w:tblGrid>
        <w:gridCol w:w="1831"/>
        <w:gridCol w:w="230"/>
        <w:gridCol w:w="154"/>
        <w:gridCol w:w="1293"/>
        <w:gridCol w:w="339"/>
        <w:gridCol w:w="145"/>
        <w:gridCol w:w="232"/>
        <w:gridCol w:w="1326"/>
        <w:gridCol w:w="74"/>
        <w:gridCol w:w="231"/>
        <w:gridCol w:w="152"/>
        <w:gridCol w:w="1277"/>
        <w:gridCol w:w="339"/>
        <w:gridCol w:w="145"/>
        <w:gridCol w:w="229"/>
        <w:gridCol w:w="1311"/>
        <w:gridCol w:w="80"/>
      </w:tblGrid>
      <w:tr>
        <w:trPr/>
        <w:tc>
          <w:tcPr>
            <w:tcW w:w="1831"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1831"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Series</w:t>
              <w:br/>
              <w:t>2026A note</w:t>
            </w:r>
          </w:p>
        </w:tc>
        <w:tc>
          <w:tcPr>
            <w:tcW w:w="33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Series</w:t>
              <w:br/>
              <w:t>2026A notes</w:t>
            </w:r>
          </w:p>
        </w:tc>
        <w:tc>
          <w:tcPr>
            <w:tcW w:w="7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Series</w:t>
              <w:br/>
              <w:t>2026B note</w:t>
            </w:r>
          </w:p>
        </w:tc>
        <w:tc>
          <w:tcPr>
            <w:tcW w:w="33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Series</w:t>
              <w:br/>
              <w:t>2026B notes</w:t>
            </w:r>
          </w:p>
        </w:tc>
        <w:tc>
          <w:tcPr>
            <w:tcW w:w="80" w:type="dxa"/>
            <w:tcBorders/>
            <w:vAlign w:val="bottom"/>
          </w:tcPr>
          <w:p>
            <w:pPr>
              <w:pStyle w:val="TableContents"/>
              <w:bidi w:val="0"/>
              <w:spacing w:before="0" w:after="283"/>
              <w:jc w:val="left"/>
              <w:rPr/>
            </w:pPr>
            <w:r>
              <w:rPr/>
              <w:t> </w:t>
            </w:r>
          </w:p>
        </w:tc>
      </w:tr>
      <w:tr>
        <w:trPr/>
        <w:tc>
          <w:tcPr>
            <w:tcW w:w="183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Public offering price(1)</w:t>
            </w:r>
          </w:p>
        </w:tc>
        <w:tc>
          <w:tcPr>
            <w:tcW w:w="2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  </w:t>
            </w:r>
          </w:p>
        </w:tc>
        <w:tc>
          <w:tcPr>
            <w:tcW w:w="3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326"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  </w:t>
            </w:r>
          </w:p>
        </w:tc>
        <w:tc>
          <w:tcPr>
            <w:tcW w:w="3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31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1831" w:type="dxa"/>
            <w:tcBorders/>
          </w:tcPr>
          <w:p>
            <w:pPr>
              <w:pStyle w:val="TableContents"/>
              <w:bidi w:val="0"/>
              <w:spacing w:before="0" w:after="0"/>
              <w:jc w:val="left"/>
              <w:rPr>
                <w:rFonts w:ascii="Times New Roman" w:hAnsi="Times New Roman"/>
                <w:sz w:val="16"/>
              </w:rPr>
            </w:pPr>
            <w:r>
              <w:rPr>
                <w:rFonts w:ascii="Times New Roman" w:hAnsi="Times New Roman"/>
                <w:sz w:val="16"/>
              </w:rPr>
              <w:t>Underwriting Discount</w:t>
            </w:r>
          </w:p>
        </w:tc>
        <w:tc>
          <w:tcPr>
            <w:tcW w:w="2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  </w:t>
            </w:r>
          </w:p>
        </w:tc>
        <w:tc>
          <w:tcPr>
            <w:tcW w:w="33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326"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  </w:t>
            </w:r>
          </w:p>
        </w:tc>
        <w:tc>
          <w:tcPr>
            <w:tcW w:w="33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131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183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Proceeds to Energy Transfer LP (before expenses)</w:t>
            </w:r>
          </w:p>
        </w:tc>
        <w:tc>
          <w:tcPr>
            <w:tcW w:w="2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  </w:t>
            </w:r>
          </w:p>
        </w:tc>
        <w:tc>
          <w:tcPr>
            <w:tcW w:w="3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326"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  </w:t>
            </w:r>
          </w:p>
        </w:tc>
        <w:tc>
          <w:tcPr>
            <w:tcW w:w="3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31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Plus accrued interest from    , 2026, if any. </w:t>
            </w:r>
          </w:p>
        </w:tc>
      </w:tr>
    </w:tbl>
    <w:p>
      <w:pPr>
        <w:pStyle w:val="TextBody"/>
        <w:bidi w:val="0"/>
        <w:spacing w:before="240" w:after="0"/>
        <w:ind w:left="960" w:right="960" w:hanging="0"/>
        <w:jc w:val="left"/>
        <w:rPr>
          <w:rFonts w:ascii="Times New Roman" w:hAnsi="Times New Roman"/>
          <w:sz w:val="16"/>
        </w:rPr>
      </w:pPr>
      <w:r>
        <w:rPr>
          <w:rFonts w:ascii="Times New Roman" w:hAnsi="Times New Roman"/>
          <w:sz w:val="16"/>
        </w:rPr>
        <w:t xml:space="preserve">The underwriters expect to deliver the notes in registered book-entry form only through the facilities of The Depository Trust Company on or about    , 2026.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i/>
          <w:sz w:val="16"/>
        </w:rPr>
      </w:pPr>
      <w:r>
        <w:rPr>
          <w:rFonts w:ascii="Times New Roman" w:hAnsi="Times New Roman"/>
          <w:b/>
          <w:i/>
          <w:sz w:val="16"/>
        </w:rPr>
        <w:t xml:space="preserve">Joint Book-Running Managers </w:t>
      </w:r>
    </w:p>
    <w:p>
      <w:pPr>
        <w:pStyle w:val="TextBody"/>
        <w:bidi w:val="0"/>
        <w:spacing w:before="0" w:after="0"/>
        <w:ind w:left="960" w:right="960" w:hanging="0"/>
        <w:jc w:val="left"/>
        <w:rPr/>
      </w:pPr>
      <w:r>
        <w:rPr/>
        <w:t> </w:t>
      </w:r>
    </w:p>
    <w:tbl>
      <w:tblPr>
        <w:tblW w:w="8455" w:type="dxa"/>
        <w:jc w:val="center"/>
        <w:tblInd w:w="0" w:type="dxa"/>
        <w:tblLayout w:type="fixed"/>
        <w:tblCellMar>
          <w:top w:w="0" w:type="dxa"/>
          <w:left w:w="0" w:type="dxa"/>
          <w:bottom w:w="0" w:type="dxa"/>
          <w:right w:w="0" w:type="dxa"/>
        </w:tblCellMar>
      </w:tblPr>
      <w:tblGrid>
        <w:gridCol w:w="1010"/>
        <w:gridCol w:w="60"/>
        <w:gridCol w:w="1295"/>
        <w:gridCol w:w="60"/>
        <w:gridCol w:w="2825"/>
        <w:gridCol w:w="60"/>
        <w:gridCol w:w="1400"/>
        <w:gridCol w:w="60"/>
        <w:gridCol w:w="1685"/>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283"/>
              <w:jc w:val="left"/>
              <w:rPr>
                <w:b/>
              </w:rPr>
            </w:pPr>
            <w:r>
              <w:rPr>
                <w:b/>
              </w:rPr>
              <w:t>Citigroup</w:t>
            </w:r>
          </w:p>
        </w:tc>
        <w:tc>
          <w:tcPr>
            <w:tcW w:w="60" w:type="dxa"/>
            <w:tcBorders/>
            <w:vAlign w:val="bottom"/>
          </w:tcPr>
          <w:p>
            <w:pPr>
              <w:pStyle w:val="TableContents"/>
              <w:bidi w:val="0"/>
              <w:spacing w:before="0" w:after="283"/>
              <w:jc w:val="left"/>
              <w:rPr/>
            </w:pPr>
            <w:r>
              <w:rPr/>
              <w:t> </w:t>
            </w:r>
          </w:p>
        </w:tc>
        <w:tc>
          <w:tcPr>
            <w:tcW w:w="1295" w:type="dxa"/>
            <w:tcBorders/>
          </w:tcPr>
          <w:p>
            <w:pPr>
              <w:pStyle w:val="TableContents"/>
              <w:bidi w:val="0"/>
              <w:spacing w:before="0" w:after="283"/>
              <w:jc w:val="center"/>
              <w:rPr>
                <w:b/>
              </w:rPr>
            </w:pPr>
            <w:r>
              <w:rPr>
                <w:b/>
              </w:rPr>
              <w:t>J.P. Morgan</w:t>
            </w:r>
          </w:p>
        </w:tc>
        <w:tc>
          <w:tcPr>
            <w:tcW w:w="60" w:type="dxa"/>
            <w:tcBorders/>
            <w:vAlign w:val="bottom"/>
          </w:tcPr>
          <w:p>
            <w:pPr>
              <w:pStyle w:val="TableContents"/>
              <w:bidi w:val="0"/>
              <w:spacing w:before="0" w:after="283"/>
              <w:jc w:val="left"/>
              <w:rPr/>
            </w:pPr>
            <w:r>
              <w:rPr/>
              <w:t> </w:t>
            </w:r>
          </w:p>
        </w:tc>
        <w:tc>
          <w:tcPr>
            <w:tcW w:w="2825" w:type="dxa"/>
            <w:tcBorders/>
          </w:tcPr>
          <w:p>
            <w:pPr>
              <w:pStyle w:val="TableContents"/>
              <w:bidi w:val="0"/>
              <w:spacing w:before="0" w:after="283"/>
              <w:jc w:val="center"/>
              <w:rPr>
                <w:b/>
              </w:rPr>
            </w:pPr>
            <w:r>
              <w:rPr>
                <w:b/>
              </w:rPr>
              <w:t>PNC Capital Markets LLC</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center"/>
              <w:rPr>
                <w:b/>
              </w:rPr>
            </w:pPr>
            <w:r>
              <w:rPr>
                <w:b/>
              </w:rPr>
              <w:t>TD Securities</w:t>
            </w:r>
          </w:p>
        </w:tc>
        <w:tc>
          <w:tcPr>
            <w:tcW w:w="60" w:type="dxa"/>
            <w:tcBorders/>
            <w:vAlign w:val="bottom"/>
          </w:tcPr>
          <w:p>
            <w:pPr>
              <w:pStyle w:val="TableContents"/>
              <w:bidi w:val="0"/>
              <w:spacing w:before="0" w:after="283"/>
              <w:jc w:val="left"/>
              <w:rPr/>
            </w:pPr>
            <w:r>
              <w:rPr/>
              <w:t> </w:t>
            </w:r>
          </w:p>
        </w:tc>
        <w:tc>
          <w:tcPr>
            <w:tcW w:w="1685" w:type="dxa"/>
            <w:tcBorders/>
          </w:tcPr>
          <w:p>
            <w:pPr>
              <w:pStyle w:val="TableContents"/>
              <w:bidi w:val="0"/>
              <w:spacing w:before="0" w:after="283"/>
              <w:jc w:val="right"/>
              <w:rPr>
                <w:b/>
              </w:rPr>
            </w:pPr>
            <w:r>
              <w:rPr>
                <w:b/>
              </w:rPr>
              <w:t>Truist Securities</w:t>
            </w:r>
          </w:p>
        </w:tc>
      </w:tr>
    </w:tbl>
    <w:p>
      <w:pPr>
        <w:pStyle w:val="TextBody"/>
        <w:bidi w:val="0"/>
        <w:spacing w:before="120" w:after="0"/>
        <w:ind w:left="960" w:right="960" w:hanging="0"/>
        <w:jc w:val="center"/>
        <w:rPr>
          <w:rFonts w:ascii="Times New Roman" w:hAnsi="Times New Roman"/>
          <w:b/>
          <w:sz w:val="16"/>
        </w:rPr>
      </w:pPr>
      <w:r>
        <w:rPr>
          <w:rFonts w:ascii="Times New Roman" w:hAnsi="Times New Roman"/>
          <w:b/>
          <w:sz w:val="16"/>
        </w:rPr>
        <w:t xml:space="preserve">The date of this prospectus supplement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rom77574_1">
              <w:r>
                <w:rPr>
                  <w:rStyle w:val="InternetLink"/>
                  <w:rFonts w:ascii="Times New Roman" w:hAnsi="Times New Roman"/>
                  <w:sz w:val="20"/>
                </w:rPr>
                <w:t>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77574_2">
              <w:r>
                <w:rPr>
                  <w:rStyle w:val="InternetLink"/>
                  <w:rFonts w:ascii="Times New Roman" w:hAnsi="Times New Roman"/>
                  <w:sz w:val="20"/>
                </w:rPr>
                <w:t>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77574_3">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77574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77574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77574_6">
              <w:r>
                <w:rPr>
                  <w:rStyle w:val="InternetLink"/>
                  <w:rFonts w:ascii="Times New Roman" w:hAnsi="Times New Roman"/>
                  <w:sz w:val="20"/>
                </w:rPr>
                <w:t>CAPITALIZATION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77574_7">
              <w:r>
                <w:rPr>
                  <w:rStyle w:val="InternetLink"/>
                  <w:rFonts w:ascii="Times New Roman" w:hAnsi="Times New Roman"/>
                  <w:sz w:val="20"/>
                </w:rPr>
                <w:t>DESCRIPTION OF THE NOTES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77574_8">
              <w:r>
                <w:rPr>
                  <w:rStyle w:val="InternetLink"/>
                  <w:rFonts w:ascii="Times New Roman" w:hAnsi="Times New Roman"/>
                  <w:sz w:val="20"/>
                </w:rPr>
                <w:t>CERTAIN U.S. FEDERAL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77574_9">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77574_10">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77574_11">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77574_12">
              <w:r>
                <w:rPr>
                  <w:rStyle w:val="InternetLink"/>
                  <w:rFonts w:ascii="Times New Roman" w:hAnsi="Times New Roman"/>
                  <w:sz w:val="20"/>
                </w:rPr>
                <w:t>WHERE YOU CAN FIND MORE INFORMATION; 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S-47</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82"/>
        <w:gridCol w:w="340"/>
        <w:gridCol w:w="60"/>
        <w:gridCol w:w="261"/>
        <w:gridCol w:w="62"/>
      </w:tblGrid>
      <w:tr>
        <w:trPr/>
        <w:tc>
          <w:tcPr>
            <w:tcW w:w="9482"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82" w:type="dxa"/>
            <w:tcBorders/>
            <w:vAlign w:val="bottom"/>
          </w:tcPr>
          <w:p>
            <w:pPr>
              <w:pStyle w:val="TableContents"/>
              <w:bidi w:val="0"/>
              <w:spacing w:before="0" w:after="0"/>
              <w:jc w:val="left"/>
              <w:rPr/>
            </w:pPr>
            <w:hyperlink w:anchor="tx77574_1">
              <w:r>
                <w:rPr>
                  <w:rStyle w:val="InternetLink"/>
                  <w:rFonts w:ascii="Times New Roman" w:hAnsi="Times New Roman"/>
                  <w:sz w:val="20"/>
                </w:rPr>
                <w:t>ABOUT THIS PROSPECTUS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2">
              <w:r>
                <w:rPr>
                  <w:rStyle w:val="InternetLink"/>
                  <w:rFonts w:ascii="Times New Roman" w:hAnsi="Times New Roman"/>
                  <w:sz w:val="20"/>
                </w:rPr>
                <w:t>WHERE YOU CAN FIND MORE INFORMATION; INCORPORATION BY REFERENCE</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3">
              <w:r>
                <w:rPr>
                  <w:rStyle w:val="InternetLink"/>
                  <w:rFonts w:ascii="Times New Roman" w:hAnsi="Times New Roman"/>
                  <w:sz w:val="20"/>
                </w:rPr>
                <w:t>FORWARD-LOOKING STATEMENTS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4">
              <w:r>
                <w:rPr>
                  <w:rStyle w:val="InternetLink"/>
                  <w:rFonts w:ascii="Times New Roman" w:hAnsi="Times New Roman"/>
                  <w:sz w:val="20"/>
                </w:rPr>
                <w:t>ENERGY TRANSFER LP</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5">
              <w:r>
                <w:rPr>
                  <w:rStyle w:val="InternetLink"/>
                  <w:rFonts w:ascii="Times New Roman" w:hAnsi="Times New Roman"/>
                  <w:sz w:val="20"/>
                </w:rPr>
                <w:t>RISK FACTORS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6">
              <w:r>
                <w:rPr>
                  <w:rStyle w:val="InternetLink"/>
                  <w:rFonts w:ascii="Times New Roman" w:hAnsi="Times New Roman"/>
                  <w:sz w:val="20"/>
                </w:rPr>
                <w:t>USE OF PROCEEDS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7">
              <w:r>
                <w:rPr>
                  <w:rStyle w:val="InternetLink"/>
                  <w:rFonts w:ascii="Times New Roman" w:hAnsi="Times New Roman"/>
                  <w:sz w:val="20"/>
                </w:rPr>
                <w:t>DESCRIPTION OF COMMON UNITS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8">
              <w:r>
                <w:rPr>
                  <w:rStyle w:val="InternetLink"/>
                  <w:rFonts w:ascii="Times New Roman" w:hAnsi="Times New Roman"/>
                  <w:sz w:val="20"/>
                </w:rPr>
                <w:t>OUR PARTNERSHIP AGREEMENT</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9">
              <w:r>
                <w:rPr>
                  <w:rStyle w:val="InternetLink"/>
                  <w:rFonts w:ascii="Times New Roman" w:hAnsi="Times New Roman"/>
                  <w:sz w:val="20"/>
                </w:rPr>
                <w:t>DISTRIBUTION POLICY</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10">
              <w:r>
                <w:rPr>
                  <w:rStyle w:val="InternetLink"/>
                  <w:rFonts w:ascii="Times New Roman" w:hAnsi="Times New Roman"/>
                  <w:sz w:val="20"/>
                </w:rPr>
                <w:t>DESCRIPTION OF PREFERRED UNITS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11">
              <w:r>
                <w:rPr>
                  <w:rStyle w:val="InternetLink"/>
                  <w:rFonts w:ascii="Times New Roman" w:hAnsi="Times New Roman"/>
                  <w:sz w:val="20"/>
                </w:rPr>
                <w:t>DESCRIPTION OF DEBT SECURITIES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12">
              <w:r>
                <w:rPr>
                  <w:rStyle w:val="InternetLink"/>
                  <w:rFonts w:ascii="Times New Roman" w:hAnsi="Times New Roman"/>
                  <w:sz w:val="20"/>
                </w:rPr>
                <w:t>GLOBAL SECURITIES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13">
              <w:r>
                <w:rPr>
                  <w:rStyle w:val="InternetLink"/>
                  <w:rFonts w:ascii="Times New Roman" w:hAnsi="Times New Roman"/>
                  <w:sz w:val="20"/>
                </w:rPr>
                <w:t>PLAN OF DISTRIBUTION</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14">
              <w:r>
                <w:rPr>
                  <w:rStyle w:val="InternetLink"/>
                  <w:rFonts w:ascii="Times New Roman" w:hAnsi="Times New Roman"/>
                  <w:sz w:val="20"/>
                </w:rPr>
                <w:t>MATERIAL U.S. FEDERAL INCOME TAX CONSEQUENCES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15">
              <w:r>
                <w:rPr>
                  <w:rStyle w:val="InternetLink"/>
                  <w:rFonts w:ascii="Times New Roman" w:hAnsi="Times New Roman"/>
                  <w:sz w:val="20"/>
                </w:rPr>
                <w:t>LEGAL MATTERS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482" w:type="dxa"/>
            <w:tcBorders/>
            <w:vAlign w:val="bottom"/>
          </w:tcPr>
          <w:p>
            <w:pPr>
              <w:pStyle w:val="TableContents"/>
              <w:bidi w:val="0"/>
              <w:spacing w:before="0" w:after="0"/>
              <w:jc w:val="left"/>
              <w:rPr/>
            </w:pPr>
            <w:hyperlink w:anchor="tx77574_16">
              <w:r>
                <w:rPr>
                  <w:rStyle w:val="InternetLink"/>
                  <w:rFonts w:ascii="Times New Roman" w:hAnsi="Times New Roman"/>
                  <w:sz w:val="20"/>
                </w:rPr>
                <w:t>EXPERTS</w:t>
              </w:r>
            </w:hyperlink>
          </w:p>
        </w:tc>
        <w:tc>
          <w:tcPr>
            <w:tcW w:w="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expect that delivery of the notes will be made against payment therefor on or about the closing date specified on the cover page of this prospectus supplement, which will be the tenth business day following the date of this prospectus supplement. This settlement cycle is referred to as “T+10.” Under Rule 15c6-1 under the Securities Exchange Act of 1934, as amended (the “Exchange Act”), trades in the secondary market generally are required to settle in one business day, unless the parties to any such trade expressly agree otherwise. Accordingly, purchasers who wish to trade notes prior to the date that is one business day preceding the settlement date, will be required, by virtue of the fact that the notes initially will settle T+10, to specify an alternate settlement cycle at the time of any such trade to prevent a failed settlement. Purchasers of notes who wish to trade notes prior to the date that is one business day preceding the settlement date should consult their own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rom77574_1"/>
      <w:bookmarkEnd w:id="3"/>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base prospectus and the documents we incorporate by reference herein or therein contain various forward-looking statements and information that are based on our beliefs and those of our general partner, as well as assumptions made by and information currently available to us. These forward-looking statements are identified as any statement that does not relate strictly to historical or current facts. When used in this prospectus supplement, the accompanying base prospectus and the documents we incorporate by reference herein or therein, words such as “anticipate,” “project,” “expect,” “plan,” “goal,” “forecast,” “estimate,” “intend,” “continue,” “could,” “believe,” “may,” “will” and similar expressions and statements regarding our plans and objectives for future operations, are intended to identify forward-looking statements. Although we and our general partner believe that the expectations on which such forward-looking statements are based are reasonable, neither we nor our general partner can give assurances that such expectations will prove to be correct. Forward-looking statements are subject to a variety of risks, uncertainties and assumptions. If one or more of these risks or uncertainties materialize, or if underlying assumptions prove incorrect, our actual results may vary materially from those anticipated, estimated, projected or expected. Among the key risk factors that may have a direct bearing on our results of operations and financial condition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subsidiaries to make cash distributions to us, which is dependent on their results of operations, cash flows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actual amount of cash distributions by our subsidiaries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volumes transported on our subsidiaries’ pipelines and gathering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throughput in our subsidiaries’ processing and treating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fees our subsidiaries charge and the margins they realize for their gathering, treating, processing, storage and transportation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and market demand for, and the relationship between, natural gas and natural gas liquids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energy prices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impacts of world health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cyber and malware attacks;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of natural gas and NGLs compared to the price of alternative and competing fuels;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level of petroleum product demand and the availability and price of NGL supplies;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domestic oil, natural gas and NGL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imported oil, natural gas and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taken by foreign oil and gas producing 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political and economic stability of petroleum producing 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weather conditions on demand for oil, natural gas and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of local, intrastate and interstate transportation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continued ability to find and contract for new sources of natural gas supply;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and marketing of competitive fuels;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energy conservation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energy efficiencies and technological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regulation, taxation and tariffs;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and the application of, regulation of tariff rates and operational requirements related to our subsidiaries’ interstate and intrastate pipelines;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hazards or operating risks incidental to the gathering, treating, processing and transporting of natural gas and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from other midstream companies and interstate pipeline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key natural gas producers or the providers of fractionation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reductions in the capacity or allocations of third-party pipelines that connect with our subsidiaries’ pipelines and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risk-management policies and procedures and the ability of our subsidiaries’ liquids marketing counterparties to satisfy their financial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nonpayment or nonperformance by our subsidiaries’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development of new infrastructure projects or other growth projects, including failure to make sufficient progress to justify continued development, delays in obtaining customers, increased costs of financing and raw materials and regulatory, environmental, political and legal uncertainties that may affect the timing and cost of these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the construction of new pipelines, treating and processing facilities or other facilities, or additions to our subsidiaries’ existing pipelines and their facilities, including difficulties in obtaining permits and rights-of-way or other regulatory approvals and the performance by third-party contractors;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and cost of capital and our subsidiaries’ ability to access certain capital 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deterioration of the credit and capital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the assets and operations of entities in which our subsidiaries own noncontrolling interests, including risks related to management actions at such entities that our subsidiaries may not be able to control or exert influence;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successfully identify and consummate strategic acquisitions at purchase prices that are accretive to our financial results and to successfully integrate acquired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and regulations to which we are subject, including tax, environmental, transportation and employment regulations or new interpretations by regulatory agencies concerning such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effects of legal and administrative proceedings;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a potential failure to successfully combine our business with those of companies we have acquired or may acquire in the future.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not put undue reliance on any forward-looking statements. When considering forward-looking statements, please review the risks described under “Part I—Item 1A. Risk Factors” of our Annual Report on Form 10-K for the year ended December 31, 2025 filed with the SEC on February 19, 2026, under “Part II—Item 1A. Risk Factors” in our Quarterly Report on Form 10-Q for the quarter ended March 31, 2026 filed with the SEC on May 7, 2026, or referenced in this prospectus supplement and page 7 of the accompanying base prospectus. Any forward-looking statement made by us in this prospectus supplement, the accompanying base prospectus and the documents we incorporate by reference herein or therein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rom77574_2"/>
      <w:bookmarkEnd w:id="4"/>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in this prospectus supplement and the accompanying base prospectus. It does not contain all of the information that you should consider before making an investment decision. You should read the entire prospectus supplement, the accompanying base prospectus and the documents incorporated by reference for a more complete understanding of this offering. Please read “Risk Factors” beginning on page S-8 of this prospectus supplement and page 7 of the accompanying base prospectus for more information about important risks that you should consider before investing in the notes.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When we refer to “Energy Transfer,” “ET,” “we,” “our,” “us” and the “Partnership” in this prospectus supplement, we mean Energy Transfer LP and its consolidated subsidiaries, unless otherwise specified. When we refer to “our general partner,” we mean LE GP, LLC.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Energy Transfer LP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publicly traded limited partnership that owns and operates a diversified portfolio of energy assets. Our core operations include complementary natural gas midstream, intrastate and interstate transportation and storage assets; crude oil, NGLs and refined product transportation and terminalling assets; NGL storage and fractionation; and various acquisition and marketing assets. We also own the limited partner interests and the general partner interests of publicly traded master limited partnerships Sunoco LP (NYSE: SUN) and USA Compression Partners, LP (NYSE: USAC).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18, 2026, the Partnership announced a major expansion of its Nederland NGL Export Terminal, adding 240,000 barrels per day (“bpd”) of ethane export capacity and 55,000 bpd of LPG capacity. The new ethane capacity is fully contracted under long-term agreements extending into the 2040s. To support the expansion, the Partnership will increase Mont Belvieu-to-Nederland pipeline capacity, add two new export docks, and complete previously announced refrigerated propane and butane storage expansions by the first half of 2027. The expansion will be phased in starting in 2028, with total refrigerated NGL export capacity at Nederland exceeding 1.25 million bpd after dock completion in mid-2029.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Principal Executive Offices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Texas limited partnership. Our principal executive offices are located at 8111 Westchester Drive, Suite 600, Dallas, Texas 75225, and our telephone number at that location is (214) 981-0700. We maintain a website at http://www.energytransfer.com that provides information about our business and operations. Information contained on this website, however, is not incorporated into or otherwise a part of this prospectus supplement or the accompanying base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rom77574_3"/>
      <w:bookmarkEnd w:id="5"/>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We provide the following summary solely for your convenience. This summary is not a complete description of the notes. You should read the full text of, and more specific details contained elsewhere in, this prospectus supplement and the accompanying base prospectus. For a more detailed description of the notes, please read the section entitled “</w:t>
      </w:r>
      <w:r>
        <w:rPr>
          <w:rFonts w:ascii="Times New Roman" w:hAnsi="Times New Roman"/>
          <w:i/>
          <w:sz w:val="20"/>
          <w:bdr w:val="single" w:sz="8" w:space="1" w:color="000000"/>
        </w:rPr>
        <w:t>Description of the Notes</w:t>
      </w:r>
      <w:r>
        <w:rPr>
          <w:rFonts w:ascii="Times New Roman" w:hAnsi="Times New Roman"/>
          <w:sz w:val="20"/>
          <w:bdr w:val="single" w:sz="8" w:space="1" w:color="000000"/>
        </w:rPr>
        <w:t>” in this prospectus supplement and the section entitled “</w:t>
      </w:r>
      <w:r>
        <w:rPr>
          <w:rFonts w:ascii="Times New Roman" w:hAnsi="Times New Roman"/>
          <w:i/>
          <w:sz w:val="20"/>
          <w:bdr w:val="single" w:sz="8" w:space="1" w:color="000000"/>
        </w:rPr>
        <w:t>Description of Debt Securities</w:t>
      </w:r>
      <w:r>
        <w:rPr>
          <w:rFonts w:ascii="Times New Roman" w:hAnsi="Times New Roman"/>
          <w:sz w:val="20"/>
          <w:bdr w:val="single" w:sz="8" w:space="1" w:color="000000"/>
        </w:rPr>
        <w:t xml:space="preserve">” in the accompanying base prospectus.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Issuer</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Energy Transfer LP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Notes</w:t>
            </w:r>
            <w:r>
              <w:rPr>
                <w:rFonts w:ascii="Times New Roman" w:hAnsi="Times New Roman"/>
                <w:sz w:val="20"/>
              </w:rPr>
              <w:t xml:space="preserve"> </w:t>
            </w:r>
            <w:r>
              <w:rPr>
                <w:rFonts w:ascii="Times New Roman" w:hAnsi="Times New Roman"/>
                <w:b/>
                <w:sz w:val="20"/>
              </w:rPr>
              <w:t>Offered</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We are offering $    aggregate principal amount of fixed-to-fixed reset rate junior subordinated notes of the following series: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2"/>
        <w:gridCol w:w="101"/>
        <w:gridCol w:w="5819"/>
      </w:tblGrid>
      <w:tr>
        <w:trPr/>
        <w:tc>
          <w:tcPr>
            <w:tcW w:w="4083"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$    aggregate principal amount of Series 2026A Junior Subordinated Notes due 2057;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2"/>
        <w:gridCol w:w="101"/>
        <w:gridCol w:w="5819"/>
      </w:tblGrid>
      <w:tr>
        <w:trPr/>
        <w:tc>
          <w:tcPr>
            <w:tcW w:w="4083"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$    aggregate principal amount of Series 2026B Junior Subordinated Notes due 2057.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Maturity Date</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Unless redeemed prior to maturity as described below, the Series 2026A notes will mature on January 15, 2057.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Unless redeemed prior to maturity as described below, the Series 2026B notes will mature on January 15, 2057.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Interest</w:t>
            </w:r>
            <w:r>
              <w:rPr>
                <w:rFonts w:ascii="Times New Roman" w:hAnsi="Times New Roman"/>
                <w:sz w:val="20"/>
              </w:rPr>
              <w:t xml:space="preserve"> </w:t>
            </w:r>
            <w:r>
              <w:rPr>
                <w:rFonts w:ascii="Times New Roman" w:hAnsi="Times New Roman"/>
                <w:b/>
                <w:sz w:val="20"/>
              </w:rPr>
              <w:t>Rate</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The Series 2026A notes will bear interest (i) from and including    , 2026 to, but excluding, January 15, 2032 (the “Series 2026A First Reset Date”) at the rate of  % per annum and (ii) from and including the Series 2026A First Reset Date, during each Reset Period at a rate per annum equal to the Five-year U.S. Treasury Rate as of the most recent Reset Interest Determination Date plus a spread of  %, to be reset on each Reset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Series 2026B notes will bear interest (i) from and including    , 2026 to, but excluding, January 15, 2037 (the “Series 2026B First Reset Date”) at the rate of  % per annum and (ii) from and including the Series 2026B First Reset Date, during each Reset Period at a rate per annum equal to the Five-year U.S. Treasury Rate as of the most recent Reset Interest Determination Date plus a spread of  %, to be reset on each Reset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For the definitions of the terms “Reset Period,” “Five-year U.S. Treasury Rate,” “Reset Interest Determination Date” and “Reset Date” and for other important information concerning the calculation of interest on the notes, see “</w:t>
            </w:r>
            <w:r>
              <w:rPr>
                <w:i/>
              </w:rPr>
              <w:t>Description of the Notes—Interest Rate and Maturity</w:t>
            </w:r>
            <w:r>
              <w:rPr/>
              <w:t xml:space="preserve">”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Interest Payment</w:t>
            </w:r>
            <w:r>
              <w:rPr>
                <w:rFonts w:ascii="Times New Roman" w:hAnsi="Times New Roman"/>
                <w:sz w:val="20"/>
              </w:rPr>
              <w:t xml:space="preserve"> </w:t>
            </w:r>
            <w:r>
              <w:rPr>
                <w:rFonts w:ascii="Times New Roman" w:hAnsi="Times New Roman"/>
                <w:b/>
                <w:sz w:val="20"/>
              </w:rPr>
              <w:t>Dates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Subject to our right to defer interest payments as described under “Optional Interest Deferral” below, interest on the notes will be payable semi-annually in arrears on January 15 and July 15 of each year, beginning on January 15, 2027.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Optional Interest</w:t>
            </w:r>
            <w:r>
              <w:rPr>
                <w:rFonts w:ascii="Times New Roman" w:hAnsi="Times New Roman"/>
                <w:sz w:val="20"/>
              </w:rPr>
              <w:t xml:space="preserve"> </w:t>
            </w:r>
            <w:r>
              <w:rPr>
                <w:rFonts w:ascii="Times New Roman" w:hAnsi="Times New Roman"/>
                <w:b/>
                <w:sz w:val="20"/>
              </w:rPr>
              <w:t>Deferral</w:t>
            </w:r>
            <w:r>
              <w:rPr>
                <w:rFonts w:ascii="Times New Roman" w:hAnsi="Times New Roman"/>
                <w:sz w:val="20"/>
              </w:rPr>
              <w:t xml:space="preserve">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The terms of each series of notes will provide that so long as no event of default with respect to the notes of such series has occurred and is continuing, we may, at our option, defer interest payments on such series of notes, from time to time, for one or more deferral periods of up to 20 consecutive semi-annual Interest Payment Periods applicable to such series of notes each (each such deferral period, commencing on the interest payment date on which the first such deferred interest payment otherwise would have been made, an “Optional Deferral Period”), except that no such Optional Deferral Period may extend beyond the final maturity date of the notes of such series or end on a day other than the day immediately preceding an interest payment date applicable to such series of notes. In other words, with respect to each series of notes, we may declare at our discretion up to a ten-year interest payment moratorium and may choose to do that on one or more occasions. No interest will be due or payable on the notes of such series during an Optional Deferral Period, unless we elect, at our option, to redeem any notes of such series on any redemption date during such Optional Deferral Period, in which case all accrued and unpaid interest on the notes of such series to be redeemed to, but excluding, such redemption date will be due and payable on such redemption date, or unless the principal of and interest on the notes of such series shall have been declared due and payable as the result of an event of default with respect to the notes of such series, in which case, all accrued and unpaid interest, including, to the extent permitted by applicable law, any interest on the deferred interest (“compound interest”), on the notes of such series shall become due and payable. We may elect, at our option, to extend the length of any Optional Deferral Period that is shorter than 20 consecutive semi-annual Interest Payment Periods (so long as the entire Optional Deferral Period does not exceed 20 consecutive semi-annual Interest Payment Periods or extend beyond the final maturity date of the notes of such series) and to shorten the length of any Optional Deferral Period. With respect to each series of notes, we cannot begin a new Optional Deferral Period until we have paid all accrued and unpaid interest on the notes of such series from any previous Optional Deferral Periods. During any Optional Deferral Period applicable to a series of notes, interest on the applicable series of notes will continue to accrue at the then-applicable interest rate on the notes of such series (as reset from time to time on any Reset Date occurring during such Optional Deferral Period in accordance with the terms of the notes of such series). In addition, during any Optional Deferral Period, interest on the deferred interest will accrue at the then-applicable interest rate on the notes with respect to the notes of either series (as reset from time to time on any Reset Date occurring during such Optional Deferral Period in accordance with the terms of the notes of such series), compounded semi-annually, to the extent permitted by applicable law. For the definition of the term “event of default,” see “</w:t>
            </w:r>
            <w:r>
              <w:rPr>
                <w:rFonts w:ascii="Times New Roman" w:hAnsi="Times New Roman"/>
                <w:i/>
                <w:sz w:val="20"/>
              </w:rPr>
              <w:t>Description of the Notes—Events of Default</w:t>
            </w:r>
            <w:r>
              <w:rPr>
                <w:rFonts w:ascii="Times New Roman" w:hAnsi="Times New Roman"/>
                <w:sz w:val="20"/>
              </w:rPr>
              <w:t xml:space="preserve">” in this prospectus supplement, and for the definition of the term “Interest Payment Period” and other important information concerning our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right to defer interest payments on such notes, see “</w:t>
            </w:r>
            <w:r>
              <w:rPr>
                <w:rFonts w:ascii="Times New Roman" w:hAnsi="Times New Roman"/>
                <w:i/>
                <w:sz w:val="20"/>
              </w:rPr>
              <w:t>Description of the</w:t>
            </w:r>
            <w:r>
              <w:rPr>
                <w:rFonts w:ascii="Times New Roman" w:hAnsi="Times New Roman"/>
                <w:sz w:val="20"/>
              </w:rPr>
              <w:t xml:space="preserve"> </w:t>
            </w:r>
            <w:r>
              <w:rPr>
                <w:rFonts w:ascii="Times New Roman" w:hAnsi="Times New Roman"/>
                <w:i/>
                <w:sz w:val="20"/>
              </w:rPr>
              <w:t>Notes—Option to Defer Interest Payments</w:t>
            </w:r>
            <w:r>
              <w:rPr>
                <w:rFonts w:ascii="Times New Roman" w:hAnsi="Times New Roman"/>
                <w:sz w:val="20"/>
              </w:rPr>
              <w:t xml:space="preserve">”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If we defer payments of interest on the notes of any series, the notes of such series will be treated at that time, solely for purposes of the original issue discount rules, as having been retired and reissued with original issue discount for United States federal income tax purposes. This means that if you are subject to United States federal income taxation on a net income basis, you would be required to include in your gross income for United States federal income tax purposes the deferred interest payments on your notes of such series before you receive any cash, regardless of your regular method of accounting for United States federal income tax purposes. For more information concerning the tax consequences you may have if payments of interest are deferred, see “</w:t>
            </w:r>
            <w:r>
              <w:rPr>
                <w:i/>
              </w:rPr>
              <w:t>Risk Factors—Holders of the notes subject to United States federal income taxation may have to pay taxes on interest before they receive payments from us</w:t>
            </w:r>
            <w:r>
              <w:rPr/>
              <w:t>” and “</w:t>
            </w:r>
            <w:r>
              <w:rPr>
                <w:i/>
              </w:rPr>
              <w:t>Certain U.S.</w:t>
            </w:r>
            <w:r>
              <w:rPr/>
              <w:t> </w:t>
            </w:r>
            <w:r>
              <w:rPr>
                <w:i/>
              </w:rPr>
              <w:t>Federal Income Tax Considerations—Consequences to U.S.</w:t>
            </w:r>
            <w:r>
              <w:rPr/>
              <w:t> </w:t>
            </w:r>
            <w:r>
              <w:rPr>
                <w:i/>
              </w:rPr>
              <w:t>Holders—Exercise of Deferral Option</w:t>
            </w:r>
            <w:r>
              <w:rPr/>
              <w:t xml:space="preserve">”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Restrictions During an Optional</w:t>
            </w:r>
            <w:r>
              <w:rPr>
                <w:rFonts w:ascii="Times New Roman" w:hAnsi="Times New Roman"/>
                <w:sz w:val="20"/>
              </w:rPr>
              <w:t xml:space="preserve"> </w:t>
            </w:r>
            <w:r>
              <w:rPr>
                <w:rFonts w:ascii="Times New Roman" w:hAnsi="Times New Roman"/>
                <w:b/>
                <w:sz w:val="20"/>
              </w:rPr>
              <w:t>Deferral Period</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During any Optional Deferral Period, with respect to the notes of either series, we (and our subsidiaries, as applicable) may not do any of the following (subject to certain exceptions):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declare or pay dividends or distributions on any Capital Stock (as defined in “</w:t>
            </w:r>
            <w:r>
              <w:rPr>
                <w:rFonts w:ascii="Times New Roman" w:hAnsi="Times New Roman"/>
                <w:i/>
                <w:sz w:val="20"/>
              </w:rPr>
              <w:t>Description of the Notes—Option to Defer Interest Payments</w:t>
            </w:r>
            <w:r>
              <w:rPr>
                <w:rFonts w:ascii="Times New Roman" w:hAnsi="Times New Roman"/>
                <w:sz w:val="20"/>
              </w:rPr>
              <w:t xml:space="preserve">”) of Energy Transfer;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 purchase, acquire or make a liquidation payment with respect to any Capital Stock of Energy Transfer;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any principal, interest or premium on, or repay, repurchase or redeem, any indebtedness of Energy Transfer that ranks equally with or junior to the notes of such series in right of payment;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payments with respect to any guarantees by Energy Transfer of any indebtedness if such guarantees rank equally with or junior to the notes of such series in right of payment.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For further important information, including information concerning the exceptions referred to above, see “</w:t>
            </w:r>
            <w:r>
              <w:rPr>
                <w:i/>
              </w:rPr>
              <w:t>Description of the Notes—Option to Defer Interest Payments</w:t>
            </w:r>
            <w:r>
              <w:rPr/>
              <w:t xml:space="preserve">” below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Ranking</w:t>
            </w:r>
            <w:r>
              <w:rPr>
                <w:rFonts w:ascii="Times New Roman" w:hAnsi="Times New Roman"/>
                <w:sz w:val="20"/>
              </w:rPr>
              <w:t xml:space="preserve"> </w:t>
            </w:r>
          </w:p>
        </w:tc>
        <w:tc>
          <w:tcPr>
            <w:tcW w:w="6327" w:type="dxa"/>
            <w:tcBorders/>
          </w:tcPr>
          <w:p>
            <w:pPr>
              <w:pStyle w:val="TableContents"/>
              <w:bidi w:val="0"/>
              <w:spacing w:before="0" w:after="0"/>
              <w:jc w:val="left"/>
              <w:rPr>
                <w:rFonts w:ascii="Times New Roman" w:hAnsi="Times New Roman"/>
                <w:sz w:val="20"/>
              </w:rPr>
            </w:pPr>
            <w:r>
              <w:rPr>
                <w:rFonts w:ascii="Times New Roman" w:hAnsi="Times New Roman"/>
                <w:sz w:val="20"/>
              </w:rPr>
              <w:t>The notes will be our unsecured obligations and will rank junior and subordinate in right of payment to the prior payment in full of our existing and future Senior Indebtedness, to the extent and in the manner set forth under the caption “</w:t>
            </w:r>
            <w:r>
              <w:rPr>
                <w:rFonts w:ascii="Times New Roman" w:hAnsi="Times New Roman"/>
                <w:i/>
                <w:sz w:val="20"/>
              </w:rPr>
              <w:t>Description of the Notes—Subordination</w:t>
            </w:r>
            <w:r>
              <w:rPr>
                <w:rFonts w:ascii="Times New Roman" w:hAnsi="Times New Roman"/>
                <w:sz w:val="20"/>
              </w:rPr>
              <w:t xml:space="preserve">” in this prospectus supplement. For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0"/>
              <w:jc w:val="left"/>
              <w:rPr>
                <w:rFonts w:ascii="Times New Roman" w:hAnsi="Times New Roman"/>
                <w:sz w:val="20"/>
              </w:rPr>
            </w:pPr>
            <w:r>
              <w:rPr>
                <w:rFonts w:ascii="Times New Roman" w:hAnsi="Times New Roman"/>
                <w:sz w:val="20"/>
              </w:rPr>
              <w:t>definition of the term “Senior Indebtedness,” see “</w:t>
            </w:r>
            <w:r>
              <w:rPr>
                <w:rFonts w:ascii="Times New Roman" w:hAnsi="Times New Roman"/>
                <w:i/>
                <w:sz w:val="20"/>
              </w:rPr>
              <w:t>Description of the Notes—Subordination</w:t>
            </w:r>
            <w:r>
              <w:rPr>
                <w:rFonts w:ascii="Times New Roman" w:hAnsi="Times New Roman"/>
                <w:sz w:val="20"/>
              </w:rPr>
              <w:t>” in this prospectus supplement. The notes will rank equally in right of payment with our existing 2006 Series A Junior Subordinated Notes due 2066, our existing 8.000% Fixed-to-Fixed Reset Rate Junior Subordinated Notes due 2054, our existing 7.125% Fixed-to-Fixed Reset Rate Junior Subordinated Notes due 2054, our existing 6.500% Series 2025A Junior Subordinated Notes due 2056, our existing 6.750% Series 2025B Junior Subordinated Notes due 2056 and with any future unsecured indebtedness that we may incur from time to time if the terms of such indebtedness provide that it ranks equally with the notes in right of payment. The notes will be effectively subordinated in right of payment to any secured indebtedness we have incurred or may incur (to the extent of the value of the collateral securing such secured indebtedness) and will also be effectively subordinated to all existing and future indebtedness and other liabilities of our subsidiaries. For additional information, see “</w:t>
            </w:r>
            <w:r>
              <w:rPr>
                <w:rFonts w:ascii="Times New Roman" w:hAnsi="Times New Roman"/>
                <w:i/>
                <w:sz w:val="20"/>
              </w:rPr>
              <w:t>Risk Factors—Because we have a holding company structure in which our subsidiaries conduct our operations and own our operating assets, our ability to service our debt is largely dependent on our receipt of distributions or other payments from our subsidiaries</w:t>
            </w:r>
            <w:r>
              <w:rPr>
                <w:rFonts w:ascii="Times New Roman" w:hAnsi="Times New Roman"/>
                <w:sz w:val="20"/>
              </w:rPr>
              <w:t>,” “</w:t>
            </w:r>
            <w:r>
              <w:rPr>
                <w:rFonts w:ascii="Times New Roman" w:hAnsi="Times New Roman"/>
                <w:i/>
                <w:sz w:val="20"/>
              </w:rPr>
              <w:t>Risk Factors—The notes are subordinated or effectively subordinated to all of our and our subsidiaries’ indebtedness (other than any unsecured indebtedness we have incurred or may in the future incur that ranks junior to or pari passu with the notes), and the indenture does not limit the aggregate amount of indebtedness that we or our subsidiaries may incur</w:t>
            </w:r>
            <w:r>
              <w:rPr>
                <w:rFonts w:ascii="Times New Roman" w:hAnsi="Times New Roman"/>
                <w:sz w:val="20"/>
              </w:rPr>
              <w:t>” and “</w:t>
            </w:r>
            <w:r>
              <w:rPr>
                <w:rFonts w:ascii="Times New Roman" w:hAnsi="Times New Roman"/>
                <w:i/>
                <w:sz w:val="20"/>
              </w:rPr>
              <w:t>Description of the Notes—Ranking</w:t>
            </w:r>
            <w:r>
              <w:rPr>
                <w:rFonts w:ascii="Times New Roman" w:hAnsi="Times New Roman"/>
                <w:sz w:val="20"/>
              </w:rPr>
              <w:t xml:space="preserve">”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As of March 31, 2026, after giving effect to this offering and the application of the net proceeds as set forth under “</w:t>
            </w:r>
            <w:r>
              <w:rPr>
                <w:i/>
              </w:rPr>
              <w:t>Use of Proceeds</w:t>
            </w:r>
            <w:r>
              <w:rPr/>
              <w:t xml:space="preserve">,” we would have had total senior debt of $    billion, total junior subordinated debt of $    billion and we would have been able to incur an additional $    billion of debt under our revolving credit facility. In addition, as of March 31, 2026, our subsidiaries had an aggregate of approximately $18.0 billion of indebtedness outstanding. We do not expect any change to our subsidiaries’ indebtedness in connection with the planned use of proceeds from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We do not have any secured debt outstanding.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Mandatory</w:t>
            </w:r>
            <w:r>
              <w:rPr>
                <w:rFonts w:ascii="Times New Roman" w:hAnsi="Times New Roman"/>
                <w:sz w:val="20"/>
              </w:rPr>
              <w:t xml:space="preserve"> </w:t>
            </w:r>
            <w:r>
              <w:rPr>
                <w:rFonts w:ascii="Times New Roman" w:hAnsi="Times New Roman"/>
                <w:b/>
                <w:sz w:val="20"/>
              </w:rPr>
              <w:t>Redemption</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We will not be required to make mandatory redemption or sinking fund payments on the notes or to repurchase the notes at the option of the 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Optional</w:t>
            </w:r>
            <w:r>
              <w:rPr>
                <w:rFonts w:ascii="Times New Roman" w:hAnsi="Times New Roman"/>
                <w:sz w:val="20"/>
              </w:rPr>
              <w:t xml:space="preserve"> </w:t>
            </w:r>
            <w:r>
              <w:rPr>
                <w:rFonts w:ascii="Times New Roman" w:hAnsi="Times New Roman"/>
                <w:b/>
                <w:sz w:val="20"/>
              </w:rPr>
              <w:t>Redemption</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terms of each series of notes will provide that at our option, we may redeem some or all of the notes of such series before their maturity, as follows: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or from time to time in part, (i) on any day in the period commencing on the date falling 90 days prior to the First Reset Date applicable to the notes of such series and ending 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388"/>
        <w:gridCol w:w="5817"/>
      </w:tblGrid>
      <w:tr>
        <w:trPr/>
        <w:tc>
          <w:tcPr>
            <w:tcW w:w="4388" w:type="dxa"/>
            <w:tcBorders/>
            <w:vAlign w:val="center"/>
          </w:tcPr>
          <w:p>
            <w:pPr>
              <w:pStyle w:val="TableContents"/>
              <w:bidi w:val="0"/>
              <w:spacing w:before="0" w:after="283"/>
              <w:jc w:val="left"/>
              <w:rPr/>
            </w:pPr>
            <w:r>
              <w:rPr/>
              <w:t> </w:t>
            </w:r>
          </w:p>
        </w:tc>
        <w:tc>
          <w:tcPr>
            <w:tcW w:w="5817" w:type="dxa"/>
            <w:tcBorders/>
          </w:tcPr>
          <w:p>
            <w:pPr>
              <w:pStyle w:val="TableContents"/>
              <w:bidi w:val="0"/>
              <w:spacing w:before="0" w:after="0"/>
              <w:jc w:val="left"/>
              <w:rPr>
                <w:rFonts w:ascii="Times New Roman" w:hAnsi="Times New Roman"/>
                <w:sz w:val="20"/>
              </w:rPr>
            </w:pPr>
            <w:r>
              <w:rPr>
                <w:rFonts w:ascii="Times New Roman" w:hAnsi="Times New Roman"/>
                <w:sz w:val="20"/>
              </w:rPr>
              <w:t>including) such First Reset Date and (ii) after such First Reset Date, on any applicable interest payment date, in each case at a redemption price in cash equal to 100% of the principal amount of the notes of such series to be redeemed, plus, subject to the terms described in the first paragraph under “</w:t>
            </w:r>
            <w:r>
              <w:rPr>
                <w:rFonts w:ascii="Times New Roman" w:hAnsi="Times New Roman"/>
                <w:i/>
                <w:sz w:val="20"/>
              </w:rPr>
              <w:t>Description of the Notes—Redemption—Redemption Procedures; Cancellation of</w:t>
            </w:r>
            <w:r>
              <w:rPr>
                <w:rFonts w:ascii="Times New Roman" w:hAnsi="Times New Roman"/>
                <w:sz w:val="20"/>
              </w:rPr>
              <w:t xml:space="preserve"> </w:t>
            </w:r>
            <w:r>
              <w:rPr>
                <w:rFonts w:ascii="Times New Roman" w:hAnsi="Times New Roman"/>
                <w:i/>
                <w:sz w:val="20"/>
              </w:rPr>
              <w:t xml:space="preserve">Redemption” </w:t>
            </w:r>
            <w:r>
              <w:rPr>
                <w:rFonts w:ascii="Times New Roman" w:hAnsi="Times New Roman"/>
                <w:sz w:val="20"/>
              </w:rPr>
              <w:t xml:space="preserve">in this prospectus supplement, accrued and unpaid interest on the notes of such series to be redeemed to, but excluding, such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in whole, but not in part, at any time within 120 days after the occurrence of a Tax Event (as defined in “</w:t>
            </w:r>
            <w:r>
              <w:rPr>
                <w:rFonts w:ascii="Times New Roman" w:hAnsi="Times New Roman"/>
                <w:i/>
                <w:sz w:val="20"/>
              </w:rPr>
              <w:t>Description of the Notes—Redemption—Redemption Following a Tax Event</w:t>
            </w:r>
            <w:r>
              <w:rPr>
                <w:rFonts w:ascii="Times New Roman" w:hAnsi="Times New Roman"/>
                <w:sz w:val="20"/>
              </w:rPr>
              <w:t>” in this prospectus supplement) at a redemption price in cash equal to 100% of the principal amount of the notes of such series to be redeemed, plus, subject to the terms described in the first paragraph under “</w:t>
            </w:r>
            <w:r>
              <w:rPr>
                <w:rFonts w:ascii="Times New Roman" w:hAnsi="Times New Roman"/>
                <w:i/>
                <w:sz w:val="20"/>
              </w:rPr>
              <w:t>Description of the Notes—Redemption—Redemption Procedures; Cancellation of Redemption</w:t>
            </w:r>
            <w:r>
              <w:rPr>
                <w:rFonts w:ascii="Times New Roman" w:hAnsi="Times New Roman"/>
                <w:sz w:val="20"/>
              </w:rPr>
              <w:t xml:space="preserve">” in this prospectus supplement, accrued and unpaid interest on the notes of such series to be redeemed to, but excluding, such redemption date;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in whole, but not in part, at any time during the continuance of and, in any event, within 120 days after the occurrence of, a Rating Agency Event (as defined in “</w:t>
            </w:r>
            <w:r>
              <w:rPr>
                <w:rFonts w:ascii="Times New Roman" w:hAnsi="Times New Roman"/>
                <w:i/>
                <w:sz w:val="20"/>
              </w:rPr>
              <w:t>Description of the Notes—Redemption—Redemption Following a Rating Agency Event</w:t>
            </w:r>
            <w:r>
              <w:rPr>
                <w:rFonts w:ascii="Times New Roman" w:hAnsi="Times New Roman"/>
                <w:sz w:val="20"/>
              </w:rPr>
              <w:t>” in this prospectus supplement) at a redemption price in cash equal to 102% of the principal amount of the notes of such series to be redeemed, plus, subject to the terms described in the first paragraph under “</w:t>
            </w:r>
            <w:r>
              <w:rPr>
                <w:rFonts w:ascii="Times New Roman" w:hAnsi="Times New Roman"/>
                <w:i/>
                <w:sz w:val="20"/>
              </w:rPr>
              <w:t>Description of the Notes—Redemption—Redemption Procedures; Cancellation of Redemption</w:t>
            </w:r>
            <w:r>
              <w:rPr>
                <w:rFonts w:ascii="Times New Roman" w:hAnsi="Times New Roman"/>
                <w:sz w:val="20"/>
              </w:rPr>
              <w:t xml:space="preserve">” in this prospectus supplement, accrued and unpaid interest on the notes of such series to be redeemed to, but excluding, such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Covenants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The notes of each series and the respective related indenture will not limit the amount of Senior Indebtedness that we may incur or the amount of other indebtedness or liabilities that we or any of our subsidiaries may incur, and do not contain any financial or other similar restrictive covenants.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Use of</w:t>
            </w:r>
            <w:r>
              <w:rPr>
                <w:rFonts w:ascii="Times New Roman" w:hAnsi="Times New Roman"/>
                <w:sz w:val="20"/>
              </w:rPr>
              <w:t xml:space="preserve"> </w:t>
            </w:r>
            <w:r>
              <w:rPr>
                <w:rFonts w:ascii="Times New Roman" w:hAnsi="Times New Roman"/>
                <w:b/>
                <w:sz w:val="20"/>
              </w:rPr>
              <w:t>Proceeds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We expect to receive net proceeds of approximately $    from this offering, after deducting the underwriting discounts and offering expenses. We expect to use the net proceeds from this offering to redeem or otherwise refinance all or a portion of our outstanding 6.500% Series H Fixed-Rate Reset Cumulative Redeemable Perpetual Preferred Units (“Series H Preferred Units”), which are redeemable during the redemption period commencing August 15, 2026, to refinance existing indebtedness, including to repay commercial paper and borrowings under our revolving credit facility, and for general partnership purposes. This prospectus supplement does not constitute a notice of redemption with respect to the Series H Preferred Units.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Affiliates of each of the underwriters are lenders under our revolving credit facility, and certain of the underwriters or their affiliates may be holders of the Series H Preferred Units. Accordingly, each of the underwriters and their affiliates may receive a portion of the net proceeds from this offering through any repayment of borrowings under such revolving credit facility or redemption of the Series H Preferred Units. Additionally, certain of the underwriters or their affiliates are dealers on our commercial paper program and may receive a portion of the net proceeds from this offering through any repayment of borrowings under such commercial paper program, to the extent they are holding any of our commercial paper. See “</w:t>
            </w:r>
            <w:r>
              <w:rPr>
                <w:i/>
              </w:rPr>
              <w:t>Underwriting</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Trustee</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U.S. Bank Trust Company, National Association.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Governing</w:t>
            </w:r>
            <w:r>
              <w:rPr>
                <w:rFonts w:ascii="Times New Roman" w:hAnsi="Times New Roman"/>
                <w:sz w:val="20"/>
              </w:rPr>
              <w:t xml:space="preserve"> </w:t>
            </w:r>
            <w:r>
              <w:rPr>
                <w:rFonts w:ascii="Times New Roman" w:hAnsi="Times New Roman"/>
                <w:b/>
                <w:sz w:val="20"/>
              </w:rPr>
              <w:t>Law</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The notes and the indenture will be governed by the laws of the State of New York.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Risk</w:t>
            </w:r>
            <w:r>
              <w:rPr>
                <w:rFonts w:ascii="Times New Roman" w:hAnsi="Times New Roman"/>
                <w:sz w:val="20"/>
              </w:rPr>
              <w:t xml:space="preserve"> </w:t>
            </w:r>
            <w:r>
              <w:rPr>
                <w:rFonts w:ascii="Times New Roman" w:hAnsi="Times New Roman"/>
                <w:b/>
                <w:sz w:val="20"/>
              </w:rPr>
              <w:t>Factors</w:t>
            </w:r>
            <w:r>
              <w:rPr>
                <w:rFonts w:ascii="Times New Roman" w:hAnsi="Times New Roman"/>
                <w:sz w:val="20"/>
              </w:rPr>
              <w:t xml:space="preserve"> </w:t>
            </w:r>
          </w:p>
        </w:tc>
        <w:tc>
          <w:tcPr>
            <w:tcW w:w="6327" w:type="dxa"/>
            <w:tcBorders/>
          </w:tcPr>
          <w:p>
            <w:pPr>
              <w:pStyle w:val="TableContents"/>
              <w:bidi w:val="0"/>
              <w:spacing w:before="0" w:after="283"/>
              <w:jc w:val="left"/>
              <w:rPr/>
            </w:pPr>
            <w:r>
              <w:rPr/>
              <w:t>Please read “</w:t>
            </w:r>
            <w:r>
              <w:rPr>
                <w:i/>
              </w:rPr>
              <w:t>Risk Factors</w:t>
            </w:r>
            <w:r>
              <w:rPr/>
              <w:t xml:space="preserve">” beginning on page S-8 of this prospectus supplement and on page 7 of the accompanying base prospectus for a discussion of factors you should carefully consider before investing in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rom77574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the notes involves risks. You should carefully consider all of the information contained in this prospectus supplement, the accompanying base prospectus and the documents incorporated by reference as provided under “Incorporation by Reference,” including our Annual Report on Form 10-K for the year ended December 31, 2025 and our Quarterly Report on Form 10-Q for the quarter ended March 31, 2026, and the risk factors described under “Risk Factors” therein. This prospectus supplement, the accompanying base prospectus and the documents incorporated by reference also contain forward-looking statements that involve risks and uncertainties. Please read “Forward-Looking Statements.” Our actual results could differ materially from those anticipated in the forward-looking statements as a result of certain factors, including the risks described elsewhere in this prospectus supplement, in the accompanying base prospectus and in the documents incorporated by reference. If any of these risks occur, our business, financial condition or results of operation could be adversely affected.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notes are subordinated or effectively subordinated to all of our other indebtedness (other than any unsecured indebtedness we have incurred or may in the future incur that ranks junior to or pari passu with the notes), and the indenture does not limit the aggregate amount of indebtedness that we or our subsidiaries may incur.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indenture applicable to such series of notes, the notes will be subordinated in right of payment to all of our existing and future Senior Indebtedness (as defined under “Description of the Notes—Subordination”). This means that, in the event of (a) our dissolution, winding-up, liquidation or reorganization, (b) our failure to pay any interest, principal or other monetary amounts due on any of our Senior Indebtedness when due (and continuance of that default beyond any applicable grace period) or (c) acceleration of the maturity of any of our Senior Indebtedness as a result of a default, we will not be permitted to make any payments on the notes until, in the case of clause (a), all amounts due or to become due on all of its Senior Indebtedness have been paid in full, or, in the case of clauses (b) and (c), all amounts due on our Senior Indebtedness have been paid in full. For additional information about the subordination of the notes to our Senior Indebtedness, see “Description of the Notes—Subordination” in this prospectus supplement. As of March 31, 2026, after giving effect to this offering and the application of the net proceeds as set forth under “Use of Proceeds,” we would have had total senior debt of $    billion. Due to the subordination of the notes to our Senior Indebtedness, if our assets are distributed upon our dissolution, winding-up, liquidation or reorganization, holders of our Senior Indebtedness and any secured indebtedness would likely recover more, ratably, than the holders of the notes, and it is possible that no payments would be made to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rank equally in right of payment with our outstanding 2006 Series A Junior Subordinated Notes due 2066, our outstanding 8.000% Fixed-to-Fixed Reset Rate Junior Subordinated Notes due 2054, our outstanding 7.125% Fixed-to-Fixed Reset Rate Junior Subordinated Notes due 2054, our outstanding 6.500% Series 2025A Junior Subordinated Notes due 2056, our outstanding 6.750% Series 2025B Junior Subordinated Notes due 2056 and with any future unsecured indebtedness that we may incur from time to time if the terms of such indebtedness provide that it ranks equally with the notes in right of payment. As of March 31, 2026, we had $600 million aggregate principal amount of our outstanding 2006 Series A Junior Subordinated Notes due 2066, $800 million aggregate principal amount of our outstanding 8.000% Fixed-to-Fixed Reset Rate Junior Subordinated Notes due 2054, $400 million aggregate principal amount of our outstanding 7.125% Fixed-to-Fixed Reset Rate Junior Subordinated Notes due 2054, $1.20 billion aggregate principal amount of our outstanding 6.500% Series 2025A Junior Subordinated Notes due 2056 and $800 million aggregate principal amount of our outstanding 6.750% Series 2025B Junior Subordinated Notes due 2056. As of March 31, 2026, after giving effect to this offering and the application of the net proceeds as set forth under “Use of Proceeds,” we would have had total junior subordinated debt of $    billion.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limit the amount of Senior Indebtedness or secured indebtedness that may be incurred by us or the amount of other indebtedness or liabilities that may be incurred by us or any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The incurrence by us or our subsidiaries of additional indebtedness, including the incurrence of additional Senior Indebtedness or secured indebtedness by us, may have adverse consequences for you as a holder of the notes, including making it more difficult for us to satisfy our obligations with respect to the notes, a loss of all or part of the trading value of your notes and a risk that one or more of the credit ratings of the notes could be lowered or withdrawn. Both we and our subsidiaries expect to incur substantial amounts of additional indebtedness, including Senior Indebtedness,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interest rate on each series of notes will reset on the applicable First Reset Date and each subsequent Reset Date and any interest payable after a Reset Date may be based on a rate that is less than an amount of interest payable in an earlier interest period. </w:t>
      </w:r>
    </w:p>
    <w:p>
      <w:pPr>
        <w:pStyle w:val="TextBody"/>
        <w:bidi w:val="0"/>
        <w:spacing w:before="120" w:after="0"/>
        <w:jc w:val="left"/>
        <w:rPr>
          <w:rFonts w:ascii="Times New Roman" w:hAnsi="Times New Roman"/>
          <w:sz w:val="20"/>
        </w:rPr>
      </w:pPr>
      <w:r>
        <w:rPr>
          <w:rFonts w:ascii="Times New Roman" w:hAnsi="Times New Roman"/>
          <w:sz w:val="20"/>
        </w:rPr>
        <w:t xml:space="preserve">The interest rate on the Series 2026A notes from their original issue date to, but excluding, the Series 2026A First Reset Date will be   % per annum. Beginning on the Series 2026A First Reset Date, the interest rate on the Series 2026A notes for each Reset Period will equal the Five-year U.S. Treasury Rate as of the most recent Reset Interest Determination Date plus a spread of   %, to be reset on each Reset Date. The interest rate on the Series 2026B notes from their original issue date to, but excluding, the Series 2026B First Reset Date will be   % per annum. Beginning on the Series 2026B First Reset Date, the interest rate on the Series 2026B notes for each Reset Period will equal the Five-year U.S. Treasury Rate as of the most recent Reset Interest Determination Date plus a spread of   %, to be reset on each Reset Date. Therefore, the interest rate payable on either series of notes during any Interest Payment Period following a Reset Date could be less than the interest rate payable during a previous Reset Period. We have no control over the factors that may affect U.S. Treasury rates, including geopolitical, economic, financial, political, regulatory, judicial or other conditions or events.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historical Five-year U.S. Treasury Rates are not an indication of future Five-year U.S. Treasury Rates. </w:t>
      </w:r>
    </w:p>
    <w:p>
      <w:pPr>
        <w:pStyle w:val="TextBody"/>
        <w:bidi w:val="0"/>
        <w:spacing w:before="120" w:after="0"/>
        <w:jc w:val="left"/>
        <w:rPr>
          <w:rFonts w:ascii="Times New Roman" w:hAnsi="Times New Roman"/>
          <w:sz w:val="20"/>
        </w:rPr>
      </w:pPr>
      <w:r>
        <w:rPr>
          <w:rFonts w:ascii="Times New Roman" w:hAnsi="Times New Roman"/>
          <w:sz w:val="20"/>
        </w:rPr>
        <w:t xml:space="preserve">As noted above, the annual interest rate on the notes for each Reset Period will be set by reference to the Five-year U.S. Treasury Rate as of the most recent Reset Interest Determination Date. In the past, U.S. Treasury rates have experienced significant fluctuations. You should note that historical levels, fluctuations and trends of U.S. Treasury rates are not necessarily indicative of future levels. Any historical upward or downward trend in U.S. Treasury rates is not an indication that U.S. Treasury rates are more or less likely to increase or decrease at any time in the future and you should not take historical U.S. Treasury rates as an indication of future U.S. Treasury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can defer interest payments on the notes for one or more Optional Deferral Periods of up to 20 consecutive semi-annual Interest Payment Periods each. This may affect the market price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notes will provide that so long as no event of default (as defined below under “Description of the Notes—Events of Default”) with respect to the notes of such series has occurred and is continuing, we may, at our option, defer interest payments on such series of notes, from time to time, for one or more Optional Deferral Periods of up to 20 consecutive Interest Payment Periods applicable to such series of notes each, except that no such Optional Deferral Period may extend beyond the final maturity date of the notes of such series or end on a day other than the day immediately preceding an interest payment date applicable to such series of notes. In other words, with respect to each series of notes, we may declare at our discretion up to a ten-year interest payment moratorium and may choose to do that on one or more occasions. Moreover, following the end of any Optional Deferral Period, if all amounts then due on the applicable series of notes are paid, we could immediately start a new Optional Deferral Period of up to 20 consecutive semi-annual Interest Payment Periods. No interest will be due or payable on the notes of such series during an Optional Deferral Period, unless we elect, at our option, to redeem any notes of such series on any redemption date during such Optional Deferral Period, in which case all accrued and unpaid interest on the notes of such series to be redeemed to, but excluding, such redemption date will be due and payable on such redemption date, or unless the principal of and interest on the notes of such series shall have been declared due and payable as a result of an event of default with respect to the notes of such series, in which case, all accrued and unpaid interest on the notes of such series shall become due and payable. Instead, interest on the applicable series of notes would be deferred but would continue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accrue at the then-applicable interest rate on the notes of such series (as reset from time to time on any Reset Date occurring during such Optional Deferral Period in accordance with the terms of the notes of such series). In addition, during any Optional Deferral Period, interest on the deferred interest would accrue at the then-applicable interest rate on the notes with respect to the notes of either series (as reset from time to time on any Reset Date occurring during such Optional Deferral Period in accordance with the terms of the notes of such series), compounded semi-annually, to the extent permitted by applicable law. If we exercise this interest deferral right with respect to the notes of any series, the notes of such series may trade at a price that does not reflect the value of accrued and unpaid interest on such notes or that is otherwise substantially less than the price at which such notes would have traded if we had not exercised such deferral right. If we exercise this interest deferral right and you sell your notes of such series during an Optional Deferral Period, you may not receive the same return on your investment as a holder that continues to hold its notes until we pay the deferred interest following the end of such Optional Deferral Period. In addition, as a result of our right to defer interest payments, the market price of the notes may be more volatile than other securities that do not have these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notes subject to United States federal income taxation may have to pay taxes on interest before they receive payments from us. </w:t>
      </w:r>
    </w:p>
    <w:p>
      <w:pPr>
        <w:pStyle w:val="TextBody"/>
        <w:bidi w:val="0"/>
        <w:spacing w:before="120" w:after="0"/>
        <w:jc w:val="left"/>
        <w:rPr>
          <w:rFonts w:ascii="Times New Roman" w:hAnsi="Times New Roman"/>
          <w:sz w:val="20"/>
        </w:rPr>
      </w:pPr>
      <w:r>
        <w:rPr>
          <w:rFonts w:ascii="Times New Roman" w:hAnsi="Times New Roman"/>
          <w:sz w:val="20"/>
        </w:rPr>
        <w:t xml:space="preserve">If we defer interest payments on the notes of any series, a holder of notes of such series subject to United States federal income tax on a net income basis will be required to accrue interest income for United States federal income tax purposes in respect of such holder’s proportionate share of the accrued but unpaid interest on such notes, even if such holder normally reports income when received. As a result, a holder will be required to include the accrued interest in such holder’s gross income for United States federal income tax purposes even though such holder will not have received any cash. A holder’s adjusted tax basis in a note generally will be increased by such amounts that it was required to include in gross income. In addition, unpaid interest accrued on such notes during an Optional Deferral Period will be payable on the interest payment date immediately following the last day of such Optional Deferral Period. If a holder sells its notes on or before the record date for such interest payment date, then all of the interest accrued on such notes during the Optional Deferral Period will be paid to the person who is the registered owner of those notes at the close of business on such record date, and the holder who sold those notes will not receive from us any of the interest that accrued on those notes during the Optional Deferral Period and that such holder reported as income for tax purposes. Holders should consult with their tax advisors regarding the tax consequences of an investment in the notes. For more information regarding the U.S. tax consequences of purchasing, owning and disposing of the notes, see “Certain U.S. Federal Income Tax Considerations.”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notes will have limited rights of acceleration.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notes and the trustee under the indenture may accelerate payment of the principal and interest on the notes only upon the occurrence and continuation of certain events of default. Payment of principal and interest on the notes may be accelerated upon the occurrence of an event of default under the indenture related to failure to pay interest within 30 days after it is due, failure to pay principal or premium, if any, on the notes when due, and certain events of bankruptcy, insolvency, receivership or reorganization relating to the Partnership (but not its subsidiaries). Holders of the notes and the trustee will not have the right to accelerate payment of the principal or interest on the notes upon the breach of any other covenant in the indenture. See “Description of the Notes—Option to Defer Interest Payments,” “Description of the Notes—Events of Default” and “Description of the Notes—Limitation on Remedies.”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make only limited covenants in the indenture that will govern the notes of each series and these limited covenants may not protect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notes of each series, the indenture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us to maintain any financial ratios or specific levels of net worth, revenues, income, cash flows, or liquidity and, accordingly, will not protect holders of the notes in the event that we experience significant adverse changes in our financial condition or results of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subsidiaries’ ability to incur indebtedness which would structurally rank senior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ability to incur indebtedness, including secured indebtedness, that is senior to, or equal in, right of payment to the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make investments or to pay distributions or make other payments in respect of our common units, preferred units or other securities ranking junior to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also will permit us and our subsidiaries to incur additional indebtedness, including secured indebtedness, that could effectively rank senior to the notes, and to engage in leaseback arrangements, subject to certain limitations. Any of these actions could adversely affect our ability to make principal and interest payments on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have the same flexibility as other types of organizations to accumulate cash, which may limit cash available to service the notes or to repay them at maturity. </w:t>
      </w:r>
    </w:p>
    <w:p>
      <w:pPr>
        <w:pStyle w:val="TextBody"/>
        <w:bidi w:val="0"/>
        <w:spacing w:before="120" w:after="0"/>
        <w:jc w:val="left"/>
        <w:rPr>
          <w:rFonts w:ascii="Times New Roman" w:hAnsi="Times New Roman"/>
          <w:sz w:val="20"/>
        </w:rPr>
      </w:pPr>
      <w:r>
        <w:rPr>
          <w:rFonts w:ascii="Times New Roman" w:hAnsi="Times New Roman"/>
          <w:sz w:val="20"/>
        </w:rPr>
        <w:t xml:space="preserve">Unlike a corporation, our partnership agreement requires us to distribute, on a quarterly basis, 100% of our Available Cash (as defined in our partnership agreement) to our unitholders of record and our general partner. Available Cash is generally all of our cash on hand as of the end of a quarter, adjusted for cash distributions and net changes to reserves. Our general partner will determine the amount and timing of such distributions and has broad discretion to establish and make additions to our reserves or the reserves of our operating subsidiaries in amounts it determines in its reasonable discretion to be necessary or appropriate: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proper conduct of our business and the businesses of our operating subsidiaries (including reserves for future capital expenditures and for our anticipated future credit needs);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funds for distributions to our unitholders and our general partner for any one or more of the next four calendar quarters;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applicable law or any of our loan or other agreements.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The notes have no established trading market or history, and liquidity of trading markets for the notes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The Series 2026A notes and Series 2026B notes will each constitute a new issue of securities with no established trading market. Although the underwriters have indicated that they intend to make a market in the notes, they are not obligated to do so and any of their market-making activities may be terminated or limited at any time. In addition, we do not intend to apply for a listing of the notes on any securities exchange or interdealer quotation system. As a result, there can be no assurance as to the liquidity of markets that may develop for the notes, the ability of noteholders to sell their notes or the prices at which notes could be sold. The notes may trade at prices that are lower than their respective public offering price depending on many factors, including prevailing interest rates and the markets for similar securities. The liquidity of trading markets for the notes may also be adversely affected by general declines or disruptions in the markets for debt securities. Those market declines or disruptions could adversely affect the liquidity of and market for the notes independent of our financial performance or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we have a holding company structure in which our subsidiaries conduct our operations and own our operating assets, our ability to service our debt is largely dependent on our receipt of distributions or other payments from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We are a partnership holding company, and our subsidiaries conduct all of our operations and own all of our operating assets. We do not have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instruments, applicable state business organization laws and other laws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regulations. If we are unable to obtain the funds necessary to pay all the principal and interest on the notes when due, we may be required to adopt one or more alternatives, such as a refinancing of the notes. We cannot assure you that we would be able to refinance the notes on terms that are acceptable to us,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increase in market interest rates could result in a decrease in the market value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condition of the financial markets and prevailing interest rates have fluctuated in the past and are likely to continue fluctuating into the future, which could have an adverse effect on the market price of the notes. In general, as market interest rates rise, debt securities bearing interest at fixed rates of interest decline in value. Consequently, if you purchase notes bearing interest at fixed rates of interest and market interest rates increase, the market value of those notes may decline. We cannot predict the future level of market interest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redeem the notes before they mature, which could occur when prevailing interest rates are relatively low. </w:t>
      </w:r>
    </w:p>
    <w:p>
      <w:pPr>
        <w:pStyle w:val="TextBody"/>
        <w:bidi w:val="0"/>
        <w:spacing w:before="120" w:after="0"/>
        <w:jc w:val="left"/>
        <w:rPr>
          <w:rFonts w:ascii="Times New Roman" w:hAnsi="Times New Roman"/>
          <w:sz w:val="20"/>
        </w:rPr>
      </w:pPr>
      <w:r>
        <w:rPr>
          <w:rFonts w:ascii="Times New Roman" w:hAnsi="Times New Roman"/>
          <w:sz w:val="20"/>
        </w:rPr>
        <w:t>We may redeem all or any portion of the notes of each series at our option as described under “</w:t>
      </w:r>
      <w:r>
        <w:rPr>
          <w:rFonts w:ascii="Times New Roman" w:hAnsi="Times New Roman"/>
          <w:i/>
          <w:sz w:val="20"/>
        </w:rPr>
        <w:t>Description of the Notes—Optional Redemption</w:t>
      </w:r>
      <w:r>
        <w:rPr>
          <w:rFonts w:ascii="Times New Roman" w:hAnsi="Times New Roman"/>
          <w:sz w:val="20"/>
        </w:rPr>
        <w:t xml:space="preserve">.” Any such redemption may occur when prevailing interest rates are lower than the rates borne by the notes. These redemption rights may, depending on prevailing market conditions at the time, create reinvestment risk for the noteholders in that they may be unable to find a suitable replacement investment with a comparable return to those notes. If prevailing rates are lower at the time of redemption, noteholders may not be able to reinvest the redemption proceeds in a comparable security at an effective interest rate as high as the interest rate on the notes being redeemed. The redemption of the notes also may adversely affect noteholders’ ability to sell the notes if and at any time after the notes are called for partial or full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our credit rating or outlook or in the rating assigned by a rating agency to the notes could adversely affect the market price or liquidity of the notes. </w:t>
      </w:r>
    </w:p>
    <w:p>
      <w:pPr>
        <w:pStyle w:val="TextBody"/>
        <w:bidi w:val="0"/>
        <w:spacing w:before="120" w:after="0"/>
        <w:jc w:val="left"/>
        <w:rPr>
          <w:rFonts w:ascii="Times New Roman" w:hAnsi="Times New Roman"/>
          <w:sz w:val="20"/>
        </w:rPr>
      </w:pPr>
      <w:r>
        <w:rPr>
          <w:rFonts w:ascii="Times New Roman" w:hAnsi="Times New Roman"/>
          <w:sz w:val="20"/>
        </w:rPr>
        <w:t xml:space="preserve">Credit rating agencies continually revise their ratings and outlook for the companies that they follow, including us. The credit rating agencies also evaluate our industry as a whole and may change their credit ratings or outlook for us based on their overall view of our industry. We cannot be sure that credit rating agencies will maintain their ratings on the notes. A negative change in our ratings or outlook could have an adverse effect on the market value of the notes.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notes will be rated by nationally recognized statistical rating agencies. We cannot assure you that any rating assigned will remain for any given period of time or that a rating will not be lowered or withdrawn entirely by a rating agency if, in that rating agency’s judgment, circumstances relating to the basis of the rating, such as adverse changes in our business, so warrant. Any lowering or withdrawal of a rating by a rating agency could reduce the liquidity or market value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Rating agencies may change their practices for rating the notes, which change may affect the market price of the notes. In addition, we may redeem the notes if a rating agency makes certain changes in the equity credit methodology for securities such as the notes. </w:t>
      </w:r>
    </w:p>
    <w:p>
      <w:pPr>
        <w:pStyle w:val="TextBody"/>
        <w:bidi w:val="0"/>
        <w:spacing w:before="120" w:after="0"/>
        <w:jc w:val="left"/>
        <w:rPr>
          <w:rFonts w:ascii="Times New Roman" w:hAnsi="Times New Roman"/>
          <w:sz w:val="20"/>
        </w:rPr>
      </w:pPr>
      <w:r>
        <w:rPr>
          <w:rFonts w:ascii="Times New Roman" w:hAnsi="Times New Roman"/>
          <w:sz w:val="20"/>
        </w:rPr>
        <w:t xml:space="preserve">The rating agencies that currently or may in the future publish a rating for us, including Moody’s, S&amp;P and Fitch, each of which is expected to initially publish a rating of the notes, may, from time to time in the future, change the way they analyze securities with features similar to the notes. This may include, for example, changes to the relationship between ratings assigned to an issuer’s senior securities and ratings assigned to subordinated securities with features similar to the notes. If any rating agencies change their practices for rating these types of securities in the future, and the ratings of the notes are subsequently lowered, the trading price of the notes could be negatively affected. In addition, we may redeem the notes, at our option, in whole but not in part, if a rating agency makes certain changes in the equity credit methodology for securities such as the notes. See “Description of the Notes—Redemption—Redemption Following a Rating Agency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notes are subject to early redemption. </w:t>
      </w:r>
    </w:p>
    <w:p>
      <w:pPr>
        <w:pStyle w:val="TextBody"/>
        <w:bidi w:val="0"/>
        <w:spacing w:before="120" w:after="0"/>
        <w:jc w:val="left"/>
        <w:rPr>
          <w:rFonts w:ascii="Times New Roman" w:hAnsi="Times New Roman"/>
          <w:sz w:val="20"/>
        </w:rPr>
      </w:pPr>
      <w:r>
        <w:rPr>
          <w:rFonts w:ascii="Times New Roman" w:hAnsi="Times New Roman"/>
          <w:sz w:val="20"/>
        </w:rPr>
        <w:t xml:space="preserve">As described under “Description of the Notes—Redemption,” we may at our option redeem the notes of each series in whole or in part at the times and the applicable redemption price described thereunder. Consequently, we may choose to redeem your notes at a time when prevailing interest rates are lower than the effective interest rate paid on your notes and at times when the trading price of your notes is above the redemption price. You may not be able to reinvest the redemption proceeds in an investment with a return that is as high as the return you would have earned on the notes if they had not been redeemed and with a similar level of investment risk.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Investors should not expect us to redeem the notes on the first or any other date on which they are redeemable.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notes will provide that we may at our option redeem the notes of such series, in whole or from time to time in part, (i) on any day in the period commencing on the date falling 90 days prior to the First Reset Date applicable to the notes of such series and ending on (and including) such First Reset Date and (ii) after such First Reset Date, on any applicable interest payment date. In addition, the notes of each series may be redeemed by us at our option, in whole but not in part, following the occurrence and during the continuance of either a Tax Event or a Rating Agency Event (as those terms are defined under “Description of the Notes—Redemption” in this prospectus supplement). Any decision we may make at any time to redeem the notes before their final maturity date will depend upon, among other things, the strength of our balance sheet, our results of operations, our access to the capital markets, interest rates, our growth strategy, and general market conditions at such time. Accordingly, while we may decide to do so, investors should not expect us to redeem the notes on the first or any other date on which they are redeemable.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rom77574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expect to receive net proceeds of approximately $     from the sale of the notes offered hereby after deducting the underwriting discounts and offering expenses. We intend to use the net proceeds from this offering to redeem or otherwise refinance all or a portion of our outstanding Series H Preferred Units, which are redeemable during the redemption period commencing August 15, 2026, to refinance existing indebtedness, including to repay commercial paper and borrowings under our revolving credit facility, and for general partnership purposes. This prospectus supplement does not constitute a notice of redemption with respect to the Series H Preferred Units.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after giving effect to this offering and the application of the net proceeds as set forth above, we would have had approximately $     billion of outstanding borrowings at a weighted average interest rate of   % under our revolving credit facility (including $     billion of commercial paper). Our revolving credit facility matures on April 11, 2029. </w:t>
      </w:r>
    </w:p>
    <w:p>
      <w:pPr>
        <w:pStyle w:val="TextBody"/>
        <w:bidi w:val="0"/>
        <w:spacing w:before="240" w:after="0"/>
        <w:jc w:val="left"/>
        <w:rPr>
          <w:rFonts w:ascii="Times New Roman" w:hAnsi="Times New Roman"/>
          <w:sz w:val="20"/>
        </w:rPr>
      </w:pPr>
      <w:r>
        <w:rPr>
          <w:rFonts w:ascii="Times New Roman" w:hAnsi="Times New Roman"/>
          <w:sz w:val="20"/>
        </w:rPr>
        <w:t>Affiliates of each of the underwriters are lenders under our revolving credit facility, and certain of the underwriters or their affiliates may be holders of the Series H Preferred Units. Accordingly, each of the underwriters and their affiliates may receive a portion of the net proceeds from this offering through any repayment of borrowings under our revolving credit facility or redemption of the Series H Preferred Units. Additionally, certain of the underwriters or their affiliates are dealers on our commercial paper program and may receive a portion of the net proceeds from this offering through any repayment of borrowings under such commercial paper program, to the extent they are holding any of our commercial paper. Please read “</w:t>
      </w:r>
      <w:r>
        <w:rPr>
          <w:rFonts w:ascii="Times New Roman" w:hAnsi="Times New Roman"/>
          <w:i/>
          <w:sz w:val="20"/>
        </w:rPr>
        <w:t>Underwriting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rom77574_6"/>
      <w:bookmarkEnd w:id="8"/>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cash and cash equivalents and total capitalization as of March 31, 2026, on 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basis;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to give effect to the issuance of the notes offered by this prospectus supplement and the application of the net proceeds therefrom as described under “</w:t>
            </w:r>
            <w:r>
              <w:rPr>
                <w:rFonts w:ascii="Times New Roman" w:hAnsi="Times New Roman"/>
                <w:i/>
                <w:sz w:val="20"/>
              </w:rPr>
              <w:t>Use of Proceeds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table should be read together with our historical financial statements and the accompanying notes incorporated by reference into this prospectus supplement and the accompanying base prospectus.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85"/>
        <w:gridCol w:w="379"/>
        <w:gridCol w:w="140"/>
        <w:gridCol w:w="856"/>
        <w:gridCol w:w="167"/>
        <w:gridCol w:w="379"/>
        <w:gridCol w:w="208"/>
        <w:gridCol w:w="1068"/>
        <w:gridCol w:w="173"/>
      </w:tblGrid>
      <w:tr>
        <w:trPr/>
        <w:tc>
          <w:tcPr>
            <w:tcW w:w="4385"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8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67"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173" w:type="dxa"/>
            <w:tcBorders/>
            <w:vAlign w:val="bottom"/>
          </w:tcPr>
          <w:p>
            <w:pPr>
              <w:pStyle w:val="TableContents"/>
              <w:bidi w:val="0"/>
              <w:spacing w:before="0" w:after="283"/>
              <w:jc w:val="left"/>
              <w:rPr/>
            </w:pPr>
            <w:r>
              <w:rPr/>
              <w:t> </w:t>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951</w:t>
            </w:r>
          </w:p>
        </w:tc>
        <w:tc>
          <w:tcPr>
            <w:tcW w:w="167"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 </w:t>
            </w:r>
          </w:p>
        </w:tc>
        <w:tc>
          <w:tcPr>
            <w:tcW w:w="173" w:type="dxa"/>
            <w:tcBorders/>
            <w:shd w:fill="CCEEFF" w:val="clear"/>
            <w:vAlign w:val="bottom"/>
          </w:tcPr>
          <w:p>
            <w:pPr>
              <w:pStyle w:val="TableContents"/>
              <w:bidi w:val="0"/>
              <w:spacing w:before="0" w:after="283"/>
              <w:jc w:val="left"/>
              <w:rPr/>
            </w:pPr>
            <w:r>
              <w:rPr/>
              <w:t> </w:t>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Debt:</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r>
      <w:tr>
        <w:trPr/>
        <w:tc>
          <w:tcPr>
            <w:tcW w:w="43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Credit Facilities</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sz w:val="4"/>
                <w:szCs w:val="4"/>
              </w:rPr>
            </w:pPr>
            <w:r>
              <w:rPr>
                <w:sz w:val="4"/>
                <w:szCs w:val="4"/>
              </w:rPr>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Our revolving credit facility</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1,487</w:t>
            </w:r>
          </w:p>
        </w:tc>
        <w:tc>
          <w:tcPr>
            <w:tcW w:w="167"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Subsidiaries’ revolving credit facilities</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1,375</w:t>
            </w:r>
          </w:p>
        </w:tc>
        <w:tc>
          <w:tcPr>
            <w:tcW w:w="167"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1,375</w:t>
            </w:r>
          </w:p>
        </w:tc>
        <w:tc>
          <w:tcPr>
            <w:tcW w:w="173" w:type="dxa"/>
            <w:tcBorders/>
            <w:shd w:fill="CCEEFF" w:val="clear"/>
            <w:vAlign w:val="bottom"/>
          </w:tcPr>
          <w:p>
            <w:pPr>
              <w:pStyle w:val="TableContents"/>
              <w:bidi w:val="0"/>
              <w:spacing w:before="0" w:after="283"/>
              <w:jc w:val="left"/>
              <w:rPr/>
            </w:pPr>
            <w:r>
              <w:rPr/>
              <w:t> </w:t>
            </w:r>
          </w:p>
        </w:tc>
      </w:tr>
      <w:tr>
        <w:trPr/>
        <w:tc>
          <w:tcPr>
            <w:tcW w:w="4385" w:type="dxa"/>
            <w:tcBorders/>
          </w:tcPr>
          <w:p>
            <w:pPr>
              <w:pStyle w:val="TableContents"/>
              <w:bidi w:val="0"/>
              <w:spacing w:before="0" w:after="0"/>
              <w:jc w:val="left"/>
              <w:rPr>
                <w:rFonts w:ascii="Times New Roman" w:hAnsi="Times New Roman"/>
                <w:b/>
                <w:sz w:val="20"/>
              </w:rPr>
            </w:pPr>
            <w:r>
              <w:rPr>
                <w:rFonts w:ascii="Times New Roman" w:hAnsi="Times New Roman"/>
                <w:b/>
                <w:sz w:val="20"/>
              </w:rPr>
              <w:t>Senior Notes and Other Debt</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Our senior notes and other debt, including junior subordinated debt</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50,270</w:t>
            </w:r>
          </w:p>
        </w:tc>
        <w:tc>
          <w:tcPr>
            <w:tcW w:w="167"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sz w:val="4"/>
                <w:szCs w:val="4"/>
              </w:rPr>
            </w:pPr>
            <w:r>
              <w:rPr>
                <w:sz w:val="4"/>
                <w:szCs w:val="4"/>
              </w:rPr>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Subsidiaries’ senior notes and other debt</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16,593</w:t>
            </w:r>
          </w:p>
        </w:tc>
        <w:tc>
          <w:tcPr>
            <w:tcW w:w="167"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16,593</w:t>
            </w:r>
          </w:p>
        </w:tc>
        <w:tc>
          <w:tcPr>
            <w:tcW w:w="173" w:type="dxa"/>
            <w:tcBorders/>
            <w:vAlign w:val="bottom"/>
          </w:tcPr>
          <w:p>
            <w:pPr>
              <w:pStyle w:val="TableContents"/>
              <w:bidi w:val="0"/>
              <w:spacing w:before="0" w:after="283"/>
              <w:jc w:val="left"/>
              <w:rPr/>
            </w:pPr>
            <w:r>
              <w:rPr/>
              <w:t> </w:t>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Unamortized premiums, discounts and fair value adjustments, net</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24</w:t>
            </w:r>
          </w:p>
        </w:tc>
        <w:tc>
          <w:tcPr>
            <w:tcW w:w="167"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sz w:val="4"/>
                <w:szCs w:val="4"/>
              </w:rPr>
            </w:pPr>
            <w:r>
              <w:rPr>
                <w:sz w:val="4"/>
                <w:szCs w:val="4"/>
              </w:rPr>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Deferred debt issuance costs</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(413</w:t>
            </w:r>
          </w:p>
        </w:tc>
        <w:tc>
          <w:tcPr>
            <w:tcW w:w="167"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r>
      <w:tr>
        <w:trPr/>
        <w:tc>
          <w:tcPr>
            <w:tcW w:w="4385"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43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debt</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69,336</w:t>
            </w:r>
          </w:p>
        </w:tc>
        <w:tc>
          <w:tcPr>
            <w:tcW w:w="167"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sz w:val="4"/>
                <w:szCs w:val="4"/>
              </w:rPr>
            </w:pPr>
            <w:r>
              <w:rPr>
                <w:sz w:val="4"/>
                <w:szCs w:val="4"/>
              </w:rPr>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Redeemable noncontrolling interests</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252</w:t>
            </w:r>
          </w:p>
        </w:tc>
        <w:tc>
          <w:tcPr>
            <w:tcW w:w="167"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252</w:t>
            </w:r>
          </w:p>
        </w:tc>
        <w:tc>
          <w:tcPr>
            <w:tcW w:w="173" w:type="dxa"/>
            <w:tcBorders/>
            <w:vAlign w:val="bottom"/>
          </w:tcPr>
          <w:p>
            <w:pPr>
              <w:pStyle w:val="TableContents"/>
              <w:bidi w:val="0"/>
              <w:spacing w:before="0" w:after="283"/>
              <w:jc w:val="left"/>
              <w:rPr/>
            </w:pPr>
            <w:r>
              <w:rPr/>
              <w:t> </w:t>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sz w:val="4"/>
                <w:szCs w:val="4"/>
              </w:rPr>
            </w:pPr>
            <w:r>
              <w:rPr>
                <w:sz w:val="4"/>
                <w:szCs w:val="4"/>
              </w:rPr>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Limited Partners</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Unitholders</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3,388</w:t>
            </w:r>
          </w:p>
        </w:tc>
        <w:tc>
          <w:tcPr>
            <w:tcW w:w="167"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sz w:val="4"/>
                <w:szCs w:val="4"/>
              </w:rPr>
            </w:pPr>
            <w:r>
              <w:rPr>
                <w:sz w:val="4"/>
                <w:szCs w:val="4"/>
              </w:rPr>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Common Unitholders</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31,004</w:t>
            </w:r>
          </w:p>
        </w:tc>
        <w:tc>
          <w:tcPr>
            <w:tcW w:w="167"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Partner</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(2</w:t>
            </w:r>
          </w:p>
        </w:tc>
        <w:tc>
          <w:tcPr>
            <w:tcW w:w="167"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(2</w:t>
            </w:r>
          </w:p>
        </w:tc>
        <w:tc>
          <w:tcPr>
            <w:tcW w:w="173" w:type="dxa"/>
            <w:tcBorders/>
            <w:shd w:fill="CCEEFF" w:val="clear"/>
            <w:vAlign w:val="bottom"/>
          </w:tcPr>
          <w:p>
            <w:pPr>
              <w:pStyle w:val="TableContents"/>
              <w:bidi w:val="0"/>
              <w:spacing w:before="0" w:after="283"/>
              <w:jc w:val="left"/>
              <w:rPr/>
            </w:pPr>
            <w:r>
              <w:rPr/>
              <w:t>) </w:t>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72</w:t>
            </w:r>
          </w:p>
        </w:tc>
        <w:tc>
          <w:tcPr>
            <w:tcW w:w="167"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72</w:t>
            </w:r>
          </w:p>
        </w:tc>
        <w:tc>
          <w:tcPr>
            <w:tcW w:w="173" w:type="dxa"/>
            <w:tcBorders/>
            <w:vAlign w:val="bottom"/>
          </w:tcPr>
          <w:p>
            <w:pPr>
              <w:pStyle w:val="TableContents"/>
              <w:bidi w:val="0"/>
              <w:spacing w:before="0" w:after="283"/>
              <w:jc w:val="left"/>
              <w:rPr/>
            </w:pPr>
            <w:r>
              <w:rPr/>
              <w:t> </w:t>
            </w:r>
          </w:p>
        </w:tc>
      </w:tr>
      <w:tr>
        <w:trPr/>
        <w:tc>
          <w:tcPr>
            <w:tcW w:w="438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partners’ capital</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34,462</w:t>
            </w:r>
          </w:p>
        </w:tc>
        <w:tc>
          <w:tcPr>
            <w:tcW w:w="167"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sz w:val="4"/>
                <w:szCs w:val="4"/>
              </w:rPr>
            </w:pPr>
            <w:r>
              <w:rPr>
                <w:sz w:val="4"/>
                <w:szCs w:val="4"/>
              </w:rPr>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15,275</w:t>
            </w:r>
          </w:p>
        </w:tc>
        <w:tc>
          <w:tcPr>
            <w:tcW w:w="167"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15,275</w:t>
            </w:r>
          </w:p>
        </w:tc>
        <w:tc>
          <w:tcPr>
            <w:tcW w:w="173" w:type="dxa"/>
            <w:tcBorders/>
            <w:vAlign w:val="bottom"/>
          </w:tcPr>
          <w:p>
            <w:pPr>
              <w:pStyle w:val="TableContents"/>
              <w:bidi w:val="0"/>
              <w:spacing w:before="0" w:after="283"/>
              <w:jc w:val="left"/>
              <w:rPr/>
            </w:pPr>
            <w:r>
              <w:rPr/>
              <w:t> </w:t>
            </w:r>
          </w:p>
        </w:tc>
      </w:tr>
      <w:tr>
        <w:trPr/>
        <w:tc>
          <w:tcPr>
            <w:tcW w:w="4385"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43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49,737</w:t>
            </w:r>
          </w:p>
        </w:tc>
        <w:tc>
          <w:tcPr>
            <w:tcW w:w="167"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sz w:val="4"/>
                <w:szCs w:val="4"/>
              </w:rPr>
            </w:pPr>
            <w:r>
              <w:rPr>
                <w:sz w:val="4"/>
                <w:szCs w:val="4"/>
              </w:rPr>
            </w:r>
          </w:p>
        </w:tc>
      </w:tr>
      <w:tr>
        <w:trPr/>
        <w:tc>
          <w:tcPr>
            <w:tcW w:w="4385"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438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capitalization</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119,325</w:t>
            </w:r>
          </w:p>
        </w:tc>
        <w:tc>
          <w:tcPr>
            <w:tcW w:w="167"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068"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r>
      <w:tr>
        <w:trPr/>
        <w:tc>
          <w:tcPr>
            <w:tcW w:w="4385"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068" w:type="dxa"/>
            <w:tcBorders/>
            <w:vAlign w:val="bottom"/>
          </w:tcPr>
          <w:p>
            <w:pPr>
              <w:pStyle w:val="TableContents"/>
              <w:pBdr>
                <w:top w:val="double" w:sz="6"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rom77574_7"/>
      <w:bookmarkEnd w:id="9"/>
      <w:r>
        <w:rPr>
          <w:rFonts w:ascii="Times New Roman" w:hAnsi="Times New Roman"/>
          <w:b/>
          <w:sz w:val="20"/>
        </w:rPr>
        <w:t xml:space="preserve">DESCRIPTION OF THE NOTES </w:t>
      </w:r>
    </w:p>
    <w:p>
      <w:pPr>
        <w:pStyle w:val="TextBody"/>
        <w:bidi w:val="0"/>
        <w:spacing w:before="240" w:after="0"/>
        <w:jc w:val="left"/>
        <w:rPr>
          <w:rFonts w:ascii="Times New Roman" w:hAnsi="Times New Roman"/>
          <w:i/>
          <w:sz w:val="20"/>
        </w:rPr>
      </w:pPr>
      <w:r>
        <w:rPr>
          <w:rFonts w:ascii="Times New Roman" w:hAnsi="Times New Roman"/>
          <w:i/>
          <w:sz w:val="20"/>
        </w:rPr>
        <w:t xml:space="preserve">Energy Transfer will issue the notes of each series under a base indenture (the “base indenture”) between itself and U.S. Bank Trust Company, National Association, as trustee, as amended and supplemented by the eleventh supplemental indenture and twelfth supplemental indenture creating the notes of such series and setting forth the specific terms of such notes. With respect to each series of notes, we refer to such base indenture as so amended and supplemented, as the “indenture.” </w:t>
      </w:r>
    </w:p>
    <w:p>
      <w:pPr>
        <w:pStyle w:val="TextBody"/>
        <w:bidi w:val="0"/>
        <w:spacing w:before="240" w:after="0"/>
        <w:jc w:val="left"/>
        <w:rPr>
          <w:rFonts w:ascii="Times New Roman" w:hAnsi="Times New Roman"/>
          <w:i/>
          <w:sz w:val="20"/>
        </w:rPr>
      </w:pPr>
      <w:r>
        <w:rPr>
          <w:rFonts w:ascii="Times New Roman" w:hAnsi="Times New Roman"/>
          <w:i/>
          <w:sz w:val="20"/>
        </w:rPr>
        <w:t xml:space="preserve">This description is a summary of the material provisions of the notes and the indenture. This description does not restate those agreements and instruments in their entirety. You should refer to the notes and the indenture, forms of which are available as set forth below under “Where You Can Find More Information; Incorporation by Reference” for a complete description of our obligations and your rights. </w:t>
      </w:r>
    </w:p>
    <w:p>
      <w:pPr>
        <w:pStyle w:val="TextBody"/>
        <w:bidi w:val="0"/>
        <w:spacing w:before="240" w:after="0"/>
        <w:jc w:val="left"/>
        <w:rPr>
          <w:rFonts w:ascii="Times New Roman" w:hAnsi="Times New Roman"/>
          <w:i/>
          <w:sz w:val="20"/>
        </w:rPr>
      </w:pPr>
      <w:r>
        <w:rPr>
          <w:rFonts w:ascii="Times New Roman" w:hAnsi="Times New Roman"/>
          <w:i/>
          <w:sz w:val="20"/>
        </w:rPr>
        <w:t xml:space="preserve">In this description, the terms “Energy Transfer,” “the Partnership,” “we,” “us” and “our” refer only to Energy Transfer LP and not to any of its subsidiaries. </w:t>
      </w:r>
    </w:p>
    <w:p>
      <w:pPr>
        <w:pStyle w:val="TextBody"/>
        <w:bidi w:val="0"/>
        <w:spacing w:before="240" w:after="0"/>
        <w:jc w:val="left"/>
        <w:rPr>
          <w:rFonts w:ascii="Times New Roman" w:hAnsi="Times New Roman"/>
          <w:i/>
          <w:sz w:val="20"/>
        </w:rPr>
      </w:pPr>
      <w:r>
        <w:rPr>
          <w:rFonts w:ascii="Times New Roman" w:hAnsi="Times New Roman"/>
          <w:i/>
          <w:sz w:val="20"/>
        </w:rPr>
        <w:t xml:space="preserve">The registered holder of a note will be treated as the owner of the note for all purposes. Only registered holders will have rights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Series 2026A notes will be issued in the aggregate principal amount of $    ; the Series 2026B notes will be issued in the aggregate principal amount of $    ; and the notes of each series will be issued in denominations of $2,000 and integral multiples of $1,000 in excess thereof. The terms of each series of notes will provide that we may, from time to time, without notice to or consent of the holders of the notes of such series, issue additional notes of such series, and any such additional notes shall form a single series under the indenture with the notes of such series offered by this prospectus supplement. Any such additional notes of a particular series shall have the same form and terms as the notes of such series offered by this prospectus supplement (other than the offering price, the date of issuance and, if applicable, the date from which interest thereon shall begin to accrue and the first interest payment date, and except that the provisions of the notes specifying the rate of interest thereon to but excluding the applicable First Reset Date (as defined below) shall not be applicable to any such additional notes whose date of original issuance is on or after the applicable First Reset Date). </w:t>
      </w:r>
    </w:p>
    <w:p>
      <w:pPr>
        <w:pStyle w:val="TextBody"/>
        <w:bidi w:val="0"/>
        <w:spacing w:before="240" w:after="0"/>
        <w:jc w:val="left"/>
        <w:rPr>
          <w:rFonts w:ascii="Times New Roman" w:hAnsi="Times New Roman"/>
          <w:sz w:val="20"/>
        </w:rPr>
      </w:pPr>
      <w:r>
        <w:rPr>
          <w:rFonts w:ascii="Times New Roman" w:hAnsi="Times New Roman"/>
          <w:sz w:val="20"/>
        </w:rPr>
        <w:t xml:space="preserve">The Series 2026A notes and the Series 2026B notes will each constitute a separate series of subordinated debt securities under the indenture. The indenture does not limit the amount of debt securities we may issue under the indenture from time to time in one or more series. We may in the future issue additional debt securities under the indenture in addition to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Maturity and Interest Rate </w:t>
      </w:r>
    </w:p>
    <w:p>
      <w:pPr>
        <w:pStyle w:val="TextBody"/>
        <w:bidi w:val="0"/>
        <w:spacing w:before="120" w:after="0"/>
        <w:jc w:val="left"/>
        <w:rPr>
          <w:rFonts w:ascii="Times New Roman" w:hAnsi="Times New Roman"/>
          <w:sz w:val="20"/>
        </w:rPr>
      </w:pPr>
      <w:r>
        <w:rPr>
          <w:rFonts w:ascii="Times New Roman" w:hAnsi="Times New Roman"/>
          <w:sz w:val="20"/>
        </w:rPr>
        <w:t xml:space="preserve">The Series 2026A notes will mature on January 15, 2057 (the “Series 2026A final maturity date”) and the Series 2026B notes will mature on January 15, 2057 (the “Series 2026B final maturity date”). The notes will be subject to redemption at our option as described below under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Series 2026A notes will bear interest (i) from and including     , 2026 (the “original issue date”) to, but excluding, January 15, 2032 (the “Series 2026A First Reset Date”) at the rate of  % per annum and (ii) from and including the Series 2026A First Reset Date, during each Reset Period (as defined below) at a rate per annum equal to the Five-year U.S. Treasury Rate (as defined below) as of the most recent Reset Interest Determination Date (as defined below) plus a spread of   %, to be reset on each Reset Date (as defined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Series 2026B notes will bear interest (i) from and including the original issue date to, but excluding, January 15, 2037 (the “Series 2026B First Reset Date”) at the rate of   % per annum and (ii) from and including the Series 2026B First Reset Date, during each Reset Period at a rate per annum equal to the Five-year U.S. Treasury Rate as of the most recent Reset Interest Determination Date plus a spread of   %, to be reset on each Reset Date.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notes will accrue from the original issue date and will be payable semi-annually in arrears on January 15 and July 15 (each, an “interest payment date”) of each year, beginning on January 15, 2027, to the holders of record at the close of business on the immediately preceding January 1 and July 1, respectively (each, a “record date”), subject to our right to defer interest payments as described below under “—Option to Defer Interest Payments.” These regular record dates will apply regardless of whether a particular regular record date is a business day. In this section, a “business day” means any day other than a Saturday or Sunday or any other day on which commercial banks in New York City are authorized or required by law or executive order to close. If an interest payment date is not a business day, payment of interest will be made on the next succeeding business day, without any interest, additional interest, or other payment in lieu of interest or additional interest accumulating with respect to this delay.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interest rate for each Reset Period will be determined by the calculation agent (as defined below), as of the applicable Reset Interest Determination Date, in accordance with the following provisions: </w:t>
      </w:r>
    </w:p>
    <w:p>
      <w:pPr>
        <w:pStyle w:val="TextBody"/>
        <w:bidi w:val="0"/>
        <w:spacing w:before="240" w:after="0"/>
        <w:jc w:val="left"/>
        <w:rPr/>
      </w:pPr>
      <w:r>
        <w:rPr/>
        <w:t>“</w:t>
      </w:r>
      <w:r>
        <w:rPr>
          <w:rFonts w:ascii="Times New Roman" w:hAnsi="Times New Roman"/>
          <w:sz w:val="20"/>
        </w:rPr>
        <w:t xml:space="preserve">First Reset Date” means, with respect to the Series 2026A notes, the Series 2026A First Reset Date and, with respect to the Series 2026B notes, the Series 2026B First Reset Date. </w:t>
      </w:r>
    </w:p>
    <w:p>
      <w:pPr>
        <w:pStyle w:val="TextBody"/>
        <w:bidi w:val="0"/>
        <w:spacing w:before="240" w:after="0"/>
        <w:jc w:val="left"/>
        <w:rPr/>
      </w:pPr>
      <w:r>
        <w:rPr/>
        <w:t>“</w:t>
      </w:r>
      <w:r>
        <w:rPr>
          <w:rFonts w:ascii="Times New Roman" w:hAnsi="Times New Roman"/>
          <w:sz w:val="20"/>
        </w:rPr>
        <w:t xml:space="preserve">Five-year U.S. Treasury Rate” means, as of any Reset Interest Determination Date, as applicable, an interest rate (expressed as a decimal) determined to be the per annum rate (i) equal to the average of the yields on actively traded U.S. treasury securities adjusted to constant maturity, for five-year maturities, for the five business days immediately preceding the Reset Interest Determination Date appearing (or, if fewer than five business days appear, such number of business days appearing) under the caption “Treasury Constant Maturities” in the most recent H.15 (as defined herein) as of 5:00 p.m. (Eastern Time); or (ii) if there are no such published yields on actively traded U.S. treasury securities adjusted to constant maturity, for five-year maturities, then the rate will be determined by interpolation between the average of the yields on actively traded U.S. treasury securities adjusted to constant maturity for two series of actively traded U.S. treasury securities, (A) one maturing as close as possible to, but earlier than, the Reset Date following the next succeeding Reset Interest Determination Date and (B) the other maturing as close as possible to, but later than, the Reset Date following the next succeeding Reset Interest Determination Date, in each case for the five business days appearing (or, if fewer than five business days appear, such number of business days appearing) under the caption “Treasury Constant Maturities” in the most recent H.15 as of 5:00 p.m. (Eastern Time) as of any date of determination. </w:t>
      </w:r>
    </w:p>
    <w:p>
      <w:pPr>
        <w:pStyle w:val="TextBody"/>
        <w:bidi w:val="0"/>
        <w:spacing w:before="240" w:after="0"/>
        <w:jc w:val="left"/>
        <w:rPr/>
      </w:pPr>
      <w:r>
        <w:rPr/>
        <w:t>“</w:t>
      </w:r>
      <w:r>
        <w:rPr>
          <w:rFonts w:ascii="Times New Roman" w:hAnsi="Times New Roman"/>
          <w:sz w:val="20"/>
        </w:rPr>
        <w:t xml:space="preserve">H.15” means the statistical release designated as such, or any successor publication, published by the Board of Governors of the U.S. Federal Reserve System (or any successor thereto). </w:t>
      </w:r>
    </w:p>
    <w:p>
      <w:pPr>
        <w:pStyle w:val="TextBody"/>
        <w:bidi w:val="0"/>
        <w:spacing w:before="240" w:after="0"/>
        <w:jc w:val="left"/>
        <w:rPr>
          <w:rFonts w:ascii="Times New Roman" w:hAnsi="Times New Roman"/>
          <w:sz w:val="20"/>
        </w:rPr>
      </w:pPr>
      <w:r>
        <w:rPr>
          <w:rFonts w:ascii="Times New Roman" w:hAnsi="Times New Roman"/>
          <w:sz w:val="20"/>
        </w:rPr>
        <w:t xml:space="preserve">The “most recent H.15” means the H.15 published closest in time but prior to the close of business on the Reset Interest Determination Date. </w:t>
      </w:r>
    </w:p>
    <w:p>
      <w:pPr>
        <w:pStyle w:val="TextBody"/>
        <w:bidi w:val="0"/>
        <w:spacing w:before="240" w:after="0"/>
        <w:jc w:val="left"/>
        <w:rPr/>
      </w:pPr>
      <w:r>
        <w:rPr/>
        <w:t>“</w:t>
      </w:r>
      <w:r>
        <w:rPr>
          <w:rFonts w:ascii="Times New Roman" w:hAnsi="Times New Roman"/>
          <w:sz w:val="20"/>
        </w:rPr>
        <w:t xml:space="preserve">Reset Date” with respect to the notes of each series, means the First Reset Date applicable to the notes of such series and each date falling on the five-year anniversary of the preceding Reset Date. </w:t>
      </w:r>
    </w:p>
    <w:p>
      <w:pPr>
        <w:pStyle w:val="TextBody"/>
        <w:bidi w:val="0"/>
        <w:spacing w:before="240" w:after="0"/>
        <w:jc w:val="left"/>
        <w:rPr/>
      </w:pPr>
      <w:r>
        <w:rPr/>
        <w:t>“</w:t>
      </w:r>
      <w:r>
        <w:rPr>
          <w:rFonts w:ascii="Times New Roman" w:hAnsi="Times New Roman"/>
          <w:sz w:val="20"/>
        </w:rPr>
        <w:t xml:space="preserve">Reset Interest Determination Date” means, in respect of any Reset Period, the day that is two business days prior to the first day of such Reset Period. </w:t>
      </w:r>
    </w:p>
    <w:p>
      <w:pPr>
        <w:pStyle w:val="TextBody"/>
        <w:bidi w:val="0"/>
        <w:spacing w:before="240" w:after="0"/>
        <w:jc w:val="left"/>
        <w:rPr/>
      </w:pPr>
      <w:r>
        <w:rPr/>
        <w:t>“</w:t>
      </w:r>
      <w:r>
        <w:rPr>
          <w:rFonts w:ascii="Times New Roman" w:hAnsi="Times New Roman"/>
          <w:sz w:val="20"/>
        </w:rPr>
        <w:t xml:space="preserve">Reset Period” with respect to the notes of each series, means the period from and including the First Reset Date of the notes of such series to, but excluding, the next following Reset Date applicable to the notes of such series and thereafter each period from and including a Reset Date to, but excluding, the next following Reset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in our sole discretion, determine that the Five-year U.S. Treasury Rate cannot be determined pursuant to the methods described above, we may, in our sole discretion, designate an unaffiliated agent or advisor, which may include an unaffiliated underwriter for the offering of the notes or any affiliate of any such underwriter, but shall not include the trustee (the “Designee”), to determine whether there is an industry-accepted successor rate to the Five-year U.S. Treasury Rate. If the Designee determines that there is such an industry-accepted successor rate, then the Five-year U.S. Treasury Rate shall be such successor rate and, in that case, the Designee may adjust the spread and may determine and adjust the business day convention, the definition of a “business day” and the Reset Interest Determination Date to be used and any other relevant methodology for determining or otherwise calculating such successor rate, including any adjustment factor needed to make such successor rate comparable to the Five-year U.S. Treasury Rate in each case, in a manner that is consistent with industry-accepted practices for the use of such successor rate. With respect to the Series 2026A notes, if we, in our sole discretion, do not designate a Designee or if the Designee determines that there is no industry-accepted successor rate, then the Five-year U.S. Treasury Rate will be the same rate determined for the prior Reset Interest Determination Date or, if this sentence is applicable with respect to the first Reset Interest Determination Date applicable to such series of notes, the applicable interest rate for the First Reset Period (as defined below) applicable to the Series 2026A notes will be   %. With respect to the Series 2026B notes, if we, in our sole discretion, do not designate a Designee or if the Designee determines that there is no industry-accepted successor rate, then the Five-year U.S. Treasury Rate will be the same rate determined for the prior Reset Interest Determination Date or, if this sentence is applicable with respect to the first Reset Interest Determination Date applicable to such series of notes, the applicable interest rate for the First Reset Period (as defined below) applicable to the Series 2026B notes will be   %.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interest rate for each Reset Period will be determined by the calculation agent, as of the applicable Reset Interest Determination Date. Promptly upon such determination, the calculation agent will notify us of the interest rate for the Reset Period and we will promptly notify, or cause the calculation agent to promptly notify, the trustee and paying agent for the notes in writing of such interest rate, upon which the trustee and paying agent will be permitted to conclusively rely. The calculation agent’s determination of any interest rate and its calculation of the amount of interest for any interest period (as defined herein) beginning on or after the First Reset Date for the applicable series of notes will be on file at our principal offices, will be made available to any holder or beneficial owner of the notes upon request, and will be final and binding in the absence of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We will give written notice of the relevant Five-year U.S. Treasury Rate as soon as reasonably practicable following each Reset Interest Determination Date to the trustee and paying agent. </w:t>
      </w:r>
    </w:p>
    <w:p>
      <w:pPr>
        <w:pStyle w:val="TextBody"/>
        <w:bidi w:val="0"/>
        <w:spacing w:before="240" w:after="0"/>
        <w:jc w:val="left"/>
        <w:rPr>
          <w:rFonts w:ascii="Times New Roman" w:hAnsi="Times New Roman"/>
          <w:sz w:val="20"/>
        </w:rPr>
      </w:pPr>
      <w:r>
        <w:rPr>
          <w:rFonts w:ascii="Times New Roman" w:hAnsi="Times New Roman"/>
          <w:sz w:val="20"/>
        </w:rPr>
        <w:t xml:space="preserve">Interest accumulating or payable on the notes for any interest period (or portion thereof) will be calculated on the basis of a 360-day year consisting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If any interest payment date, redemption date or the maturity date of the notes is not a business day (as defined in the indenture) at any place of payment, then payment of the principal, premium, if any, and interest may be made on the next business day at that place of payment. In that case, no interest will accrue on the amount payable for the period from and after the applicable interest payment date, redemption date or maturity date, as the case may be. </w:t>
      </w:r>
    </w:p>
    <w:p>
      <w:pPr>
        <w:pStyle w:val="TextBody"/>
        <w:bidi w:val="0"/>
        <w:spacing w:before="360" w:after="0"/>
        <w:jc w:val="left"/>
        <w:rPr>
          <w:rFonts w:ascii="Times New Roman" w:hAnsi="Times New Roman"/>
          <w:b/>
          <w:sz w:val="20"/>
        </w:rPr>
      </w:pPr>
      <w:r>
        <w:rPr>
          <w:rFonts w:ascii="Times New Roman" w:hAnsi="Times New Roman"/>
          <w:b/>
          <w:sz w:val="20"/>
        </w:rPr>
        <w:t xml:space="preserve">Calculation Agent </w:t>
      </w:r>
    </w:p>
    <w:p>
      <w:pPr>
        <w:pStyle w:val="TextBody"/>
        <w:bidi w:val="0"/>
        <w:spacing w:before="120" w:after="0"/>
        <w:jc w:val="left"/>
        <w:rPr>
          <w:rFonts w:ascii="Times New Roman" w:hAnsi="Times New Roman"/>
          <w:sz w:val="20"/>
        </w:rPr>
      </w:pPr>
      <w:r>
        <w:rPr>
          <w:rFonts w:ascii="Times New Roman" w:hAnsi="Times New Roman"/>
          <w:sz w:val="20"/>
        </w:rPr>
        <w:t xml:space="preserve">The “calculation agent” means any person or entity appointed by us and serving as such agent with respect to the notes at such time. Unless we have validly called all of the outstanding notes of any series for redemption during the First Reset Period of the applicable series of notes, we will appoint a calculation agent for such notes prior to the Reset Interest Determination Date preceding the First Reset Date for the applicable series of notes; provided that, if we have called all of the outstanding notes of such series for redemption on a redemption date occurring during such First Reset Period, but we do not redeem all of the outstanding notes of such series on such redemption date, we will appoint a calculation agent for such notes prior to the Reset Interest Determination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preceding such First Reset Date. We may terminate any such appointment and may appoint a successor calculation agent at any time and from time to time. We may appoint ourselves or an affiliate of ours as calculation agent. </w:t>
      </w:r>
    </w:p>
    <w:p>
      <w:pPr>
        <w:pStyle w:val="TextBody"/>
        <w:bidi w:val="0"/>
        <w:spacing w:before="360" w:after="0"/>
        <w:jc w:val="left"/>
        <w:rPr>
          <w:rFonts w:ascii="Times New Roman" w:hAnsi="Times New Roman"/>
          <w:b/>
          <w:sz w:val="20"/>
        </w:rPr>
      </w:pPr>
      <w:r>
        <w:rPr>
          <w:rFonts w:ascii="Times New Roman" w:hAnsi="Times New Roman"/>
          <w:b/>
          <w:sz w:val="20"/>
        </w:rPr>
        <w:t xml:space="preserve">No Listing </w:t>
      </w:r>
    </w:p>
    <w:p>
      <w:pPr>
        <w:pStyle w:val="TextBody"/>
        <w:bidi w:val="0"/>
        <w:spacing w:before="120" w:after="0"/>
        <w:jc w:val="left"/>
        <w:rPr>
          <w:rFonts w:ascii="Times New Roman" w:hAnsi="Times New Roman"/>
          <w:sz w:val="20"/>
        </w:rPr>
      </w:pPr>
      <w:r>
        <w:rPr>
          <w:rFonts w:ascii="Times New Roman" w:hAnsi="Times New Roman"/>
          <w:sz w:val="20"/>
        </w:rPr>
        <w:t xml:space="preserve">The Series 2026A notes and Series 2026B notes are each a new issue of securities with no established trading market. We do not intend to apply for the listing or trading of the notes on any securities exchange or trading facility or for inclusion of the notes in any automated quotation system. </w:t>
      </w:r>
    </w:p>
    <w:p>
      <w:pPr>
        <w:pStyle w:val="TextBody"/>
        <w:bidi w:val="0"/>
        <w:spacing w:before="360" w:after="0"/>
        <w:jc w:val="left"/>
        <w:rPr>
          <w:rFonts w:ascii="Times New Roman" w:hAnsi="Times New Roman"/>
          <w:b/>
          <w:sz w:val="20"/>
        </w:rPr>
      </w:pPr>
      <w:r>
        <w:rPr>
          <w:rFonts w:ascii="Times New Roman" w:hAnsi="Times New Roman"/>
          <w:b/>
          <w:sz w:val="20"/>
        </w:rPr>
        <w:t xml:space="preserve">Open Market Purchases; No Mandatory Redemption or Sinking Fund </w:t>
      </w:r>
    </w:p>
    <w:p>
      <w:pPr>
        <w:pStyle w:val="TextBody"/>
        <w:bidi w:val="0"/>
        <w:spacing w:before="120" w:after="0"/>
        <w:jc w:val="left"/>
        <w:rPr>
          <w:rFonts w:ascii="Times New Roman" w:hAnsi="Times New Roman"/>
          <w:sz w:val="20"/>
        </w:rPr>
      </w:pPr>
      <w:r>
        <w:rPr>
          <w:rFonts w:ascii="Times New Roman" w:hAnsi="Times New Roman"/>
          <w:sz w:val="20"/>
        </w:rPr>
        <w:t xml:space="preserve">We may at any time and from time to time purchase notes in the open market or otherwise, in each case, without any restriction under the indenture. We are not required to make any mandatory redemption, mandatory repurchase or sinking fund payments with respect to the notes or to repurchase the notes at the option of the registered holders.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unsecured obligations and will rank junior and subordinate in right of payment to the prior payment in full of our existing and future Senior Indebtedness (as defined below under “—Subordination”), to the extent and in the manner set forth under the caption “—Subordination” below. The notes will rank equally in right of payment with our existing 2006 Series A Junior Subordinated Notes due 2066, our existing 8.000% Fixed-to-Fixed Reset Rate Junior Subordinated Notes due 2054, our existing 7.125% Fixed-to-Fixed Reset Rate Junior Subordinated Notes due 2054, our existing 6.500% Series 2025A Junior Subordinated Notes due 2056, our existing 6.750% Series 2025B Junior Subordinated Notes due 2056 and with any future unsecured indebtedness that we may incur from time to time if the terms of such indebtedness provide that it ranks equally with the notes in right of payment. As of March 31, 2026, after giving effect to this offering and the application of the net proceeds as set forth under “Use of Proceeds,” we would have had total senior debt of $     billion, and we would have been able to incur an additional $     billion of debt under our revolving credit facility. Additionally, as of March 31, 2026, after giving effect to this offering and the application of the net proceeds as set forth under “Use of Proceeds,” we and our subsidiaries would have had total junior subordinated debt of $     billion. Initially, none of our subsidiaries will guarantee the notes. As of March 31, 2026, the notes would have been structurally subordinated to approximately $18.0 billion of indebtedness of our subsidiaries. We do not expect any change to our subsidiaries’ indebtedness in connection with the planned use of proceeds from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contain any restrictions on the amount of Senior Indebtedness or other indebtedness or liabilities that we may incur or the amount of indebtedness, preferred equity or other liabilities that may be incurred by our subsidiaries. For additional information, see “Risk Factors” above in this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Agreement by Holders to Tax Treatment </w:t>
      </w:r>
    </w:p>
    <w:p>
      <w:pPr>
        <w:pStyle w:val="TextBody"/>
        <w:bidi w:val="0"/>
        <w:spacing w:before="120" w:after="0"/>
        <w:jc w:val="left"/>
        <w:rPr>
          <w:rFonts w:ascii="Times New Roman" w:hAnsi="Times New Roman"/>
          <w:sz w:val="20"/>
        </w:rPr>
      </w:pPr>
      <w:r>
        <w:rPr>
          <w:rFonts w:ascii="Times New Roman" w:hAnsi="Times New Roman"/>
          <w:sz w:val="20"/>
        </w:rPr>
        <w:t xml:space="preserve">Each holder (or beneficial owner) of the notes will, by accepting any notes (or a beneficial interest therein), be deemed to have agreed that such holder (or beneficial owner) intends that the notes constitute indebtedness of Energy Transfer, and will treat the notes as indebtedness of Energy Transfer, for United States federal, state and local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Subordination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subordinated in right of payment to the prior payment in full of all our Senior Indebtedness. This means that upon: </w:t>
      </w:r>
    </w:p>
    <w:p>
      <w:pPr>
        <w:pStyle w:val="TextBody"/>
        <w:bidi w:val="0"/>
        <w:spacing w:before="240" w:after="0"/>
        <w:jc w:val="left"/>
        <w:rPr>
          <w:rFonts w:ascii="Times New Roman" w:hAnsi="Times New Roman"/>
          <w:sz w:val="20"/>
        </w:rPr>
      </w:pPr>
      <w:r>
        <w:rPr>
          <w:rFonts w:ascii="Times New Roman" w:hAnsi="Times New Roman"/>
          <w:sz w:val="20"/>
        </w:rPr>
        <w:t xml:space="preserve">(a) any payment by, or distribution of the assets of, Energy Transfer upon its dissolution, winding-up, liquidation or reorganization, whether voluntary or involuntary or in bankruptcy, insolvency, receivership or other proceedings;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a failure to pay any interest, principal or other monetary amounts due on any of Energy Transfer’s Senior Indebtedness when due and continuance of that default beyond any applicable grace period; or </w:t>
      </w:r>
    </w:p>
    <w:p>
      <w:pPr>
        <w:pStyle w:val="TextBody"/>
        <w:bidi w:val="0"/>
        <w:spacing w:before="240" w:after="0"/>
        <w:jc w:val="left"/>
        <w:rPr>
          <w:rFonts w:ascii="Times New Roman" w:hAnsi="Times New Roman"/>
          <w:sz w:val="20"/>
        </w:rPr>
      </w:pPr>
      <w:r>
        <w:rPr>
          <w:rFonts w:ascii="Times New Roman" w:hAnsi="Times New Roman"/>
          <w:sz w:val="20"/>
        </w:rPr>
        <w:t xml:space="preserve">(c) acceleration of the maturity of any Senior Indebtedness of Energy Transfer as a result of a default; the holders of all of the Senior Indebtedness will be entitled to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(a) above, payment of all amounts due or to become due on all Senior Indebtedness;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clauses (b) and (c) above, payment of all amounts due on all Senior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the holders of the notes are entitled to receive any payment. So long as any of the events in clauses (a), (b), or (c) above has occurred and is continuing, any amounts payable or assets distributable on the notes will instead be paid or distributed, as the case may be, directly to the holders of Senior Indebtedness to the extent necessary to pay, in the case of clause (a) above, all amounts due or to become due upon all such Senior Indebtedness, or, in the case of clauses (b) and (c) above, all amounts due on all such Senior Indebtedness, and, if any such payment or distribution is received by the trustee under the indenture or the holders of any of the notes before all Senior Indebtedness due and to become due or due, as applicable, is paid, such payment or distribution must be paid over to the holders of the unpaid Senior Indebtedness. Subject to paying the Senior Indebtedness due and to become due in the case of clause (a) or the Senior Indebtedness due in the case of clauses (b) and (c), the holders of the notes will be subrogated to the rights of the holders of the Senior Indebtedness to receive payments applicable to the Senior Indebtedness until the notes are paid in full. </w:t>
      </w:r>
    </w:p>
    <w:p>
      <w:pPr>
        <w:pStyle w:val="TextBody"/>
        <w:bidi w:val="0"/>
        <w:spacing w:before="240" w:after="0"/>
        <w:jc w:val="left"/>
        <w:rPr/>
      </w:pPr>
      <w:r>
        <w:rPr/>
        <w:t>“</w:t>
      </w:r>
      <w:r>
        <w:rPr>
          <w:rFonts w:ascii="Times New Roman" w:hAnsi="Times New Roman"/>
          <w:sz w:val="20"/>
        </w:rPr>
        <w:t xml:space="preserve">Senior Indebtedness” means, with respect to the notes, (i) indebtedness of Energy Transfer, whether outstanding at the date of the indenture or incurred, created or assumed after such date, (a) in respect of money borrowed by Energy Transfer (including any financial derivative, hedging or futures contract or similar instrument, to the extent any such item is primarily a financing transaction) and (b) evidenced by debentures, bonds, notes, credit or loan agreements or other similar instruments or agreements issued or entered into by Energy Transfer; (ii) all finance lease obligations of Energy Transfer; (iii) all obligations of Energy Transfer issued or assumed as the deferred purchase price of property, all conditional sale obligations of Energy Transfer and all obligations of Energy Transfer under any title retention agreement (but excluding trade accounts payable arising in the ordinary course of business and long-term purchase obligations); (iv) all obligations of Energy Transfer for the reimbursement of any letter of credit, banker’s acceptance, security purchase facility or similar credit transaction; and (v) all obligations of the type referred to in clauses (i) through (iv) above of other persons for the payment of which Energy Transfer is responsible or liable as obligor, guarantor or otherwise, except for any obligations, instruments or agreements of the type referred to in any of clauses (i) through (v) above that, by the terms of the instruments or agreements creating or evidencing the same or pursuant to which the same is outstanding, are subordinated or equal in right of payment to the notes.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indenture and anything therein to the contrary notwithstanding, the notes shall rank equally in right of payment with the Other Junior Subordinated Notes (as defined below), the Other Junior Subordinated Notes shall not constitute Senior Indebtedness with respect to the notes, and the notes shall not constitute Senior Indebtedness with respect to the Other Junior Subordinated Notes. </w:t>
      </w:r>
    </w:p>
    <w:p>
      <w:pPr>
        <w:pStyle w:val="TextBody"/>
        <w:bidi w:val="0"/>
        <w:spacing w:before="240" w:after="0"/>
        <w:jc w:val="left"/>
        <w:rPr/>
      </w:pPr>
      <w:r>
        <w:rPr/>
        <w:t>“</w:t>
      </w:r>
      <w:r>
        <w:rPr>
          <w:rFonts w:ascii="Times New Roman" w:hAnsi="Times New Roman"/>
          <w:sz w:val="20"/>
        </w:rPr>
        <w:t xml:space="preserve">Other Junior Subordinated Notes” means, collectively, (a) our 2006 Series A Junior Subordinated Notes due 2066, which constitute a separate series of our debt securities under the base indenture and were originally issued on October 23, 2006, (b) our 8.000% Fixed-to-Fixed Reset Rate Junior Subordinated Notes due 2054, which constitute a separate series of our debt securities under the base indenture and were originally issued on January 25, 2024, (c) our 7.125% Fixed-to-Fixed Reset Rate Junior Subordinated Notes due 2054, which constitute a separate series of our debt securities under the base indenture and were originally issued on June 21, 2024, (d) our 6.500% Series 2025A Junior Subordinated Notes due 2056, which constitute a separate series of our debt securities under the base indenture, and were originally issued on August 25, 2025, (e) our 6.750% Series 2025B Junior Subordinated Notes due 2056, which constitute a separate series of our debt securities under the base indenture, and were originally issued on August 25, 2025, and (f) any additional debt securities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same series which may in the future be issued under the indenture upon any re-opening of such series and any future unsecured indebtedness that we may incur from time to time if the terms of such indebtedness provide that it ranks equally with the notes in right of payment. </w:t>
      </w:r>
    </w:p>
    <w:p>
      <w:pPr>
        <w:pStyle w:val="TextBody"/>
        <w:bidi w:val="0"/>
        <w:spacing w:before="240" w:after="0"/>
        <w:jc w:val="left"/>
        <w:rPr>
          <w:rFonts w:ascii="Times New Roman" w:hAnsi="Times New Roman"/>
          <w:sz w:val="20"/>
        </w:rPr>
      </w:pPr>
      <w:r>
        <w:rPr>
          <w:rFonts w:ascii="Times New Roman" w:hAnsi="Times New Roman"/>
          <w:sz w:val="20"/>
        </w:rPr>
        <w:t xml:space="preserve">Due to the subordination of the notes, if assets of Energy Transfer are distributed upon its dissolution, winding-up, liquidation or reorganization, holders of its Senior Indebtedness and other indebtedness and obligations that are not equal or junior to the notes in right of payment will likely recover more, ratably, than holders of the notes, and it is possible that no payments will be made to the holders of the notes. The subordination provisions described above will cease to apply in the event of defeasance or satisfaction and discharge of the notes as described under “—Defeasance and Discharge,” respectively, below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notes and the indenture do not limit our ability to incur Senior Indebtedness or our or any of our subsidiaries’ ability to incur other secured and unsecured indebtedness, preferred equity or other liabilities. We expect that we and our subsidiaries will incur substantial additional amounts of indebtedness, including Senior Indebtedness,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i/>
          <w:sz w:val="20"/>
        </w:rPr>
      </w:pPr>
      <w:r>
        <w:rPr>
          <w:rFonts w:ascii="Times New Roman" w:hAnsi="Times New Roman"/>
          <w:i/>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notes will provide that we may at our option redeem the notes of such series, in whole or from time to time in part, (i) on any day in the period commencing on the date falling 90 days prior to the First Reset Date applicable to the notes of such series and ending on (and including) such First Reset Date (the “First Reset Period”) and (ii) after such First Reset Date, on any applicable interest payment date, in each case at a redemption price in cash equal to 100% of the principal amount of the notes of such series to be redeemed, plus, subject to the terms described in the first paragraph under “—Redemption Procedures; Cancellation of Redemption” below, accrued and unpaid interest on the notes of such series to be redeemed to, but excluding, such redemption date. </w:t>
      </w:r>
    </w:p>
    <w:p>
      <w:pPr>
        <w:pStyle w:val="TextBody"/>
        <w:bidi w:val="0"/>
        <w:spacing w:before="360" w:after="0"/>
        <w:jc w:val="left"/>
        <w:rPr>
          <w:rFonts w:ascii="Times New Roman" w:hAnsi="Times New Roman"/>
          <w:i/>
          <w:sz w:val="20"/>
        </w:rPr>
      </w:pPr>
      <w:r>
        <w:rPr>
          <w:rFonts w:ascii="Times New Roman" w:hAnsi="Times New Roman"/>
          <w:i/>
          <w:sz w:val="20"/>
        </w:rPr>
        <w:t xml:space="preserve">Redemption Following a Tax Event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notes will provide that we may at our option redeem the notes of such series, in whole but not in part, at any time within 120 days after a Tax Event (as defined below) at a redemption price in cash equal to 100% of the principal amount of the notes of such series to be redeemed, plus, subject to the terms described in the first paragraph under “—Redemption Procedures; Cancellation of Redemption” below, accrued and unpaid interest on the notes of such series to be redeemed to, but excluding, such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A “Tax Event” means that we have received an opinion of counsel experienced in such matters to the effect that, as a result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amendment to, clarification of, or change, including any announced prospective change, in the laws or treaties of the United States or any of its political subdivisions or taxing authorities, or any regulations under those laws or treaties;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administrative action, which means any judicial decision or any official administrative pronouncement, ruling, regulatory procedure, notice or announcement, including any notice or announcement of intent to issue or adopt any administrative pronouncement, ruling, regulatory procedure or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amendment to, clarification of, or change in the official position or the interpretation of any administrative action or judicial decision or any interpretation or pronouncement that provides for a position with respect to an administrative action or judicial decision that differs from the previously generally accepted position, in each case by any legislative body, court, governmental authority or regulatory body, regardless of the time or manner in which that amendment, clarification or change is introduced or made known;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threatened challenge asserted in writing in connection with a tax audit of us or any of our subsidiaries, or a publicly-known threatened challenge asserted in writing against any other taxpayer that has raised capital through the issuance of securities that are substantially similar to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which amendment, clarification or change is effective or the administrative action is taken or judicial decision, interpretation or pronouncement is issued or threatened challenge is asserted or becomes publicly-known after the date of this prospectus supplement, there is more than an insubstantial risk that interest payable by us on such notes is not deductible, or within 90 days would not be deductible, in whole or in part, by us for United States federal income tax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Following a Rating Agency Event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notes will provide that we may at our option redeem the notes of such series, in whole but not in part, at any time during the continuance of and, in any event, within 120 days after the occurrence of, a Rating Agency Event (as defined below) at a redemption price in cash equal to 102% of the principal amount of the notes of such series to be redeemed, plus, subject to the terms described in the first paragraph under “—Redemption Procedures; Cancellation of Redemption” below, accrued and unpaid interest on the notes of such series to be redeemed to, but excluding, such redemption date. </w:t>
      </w:r>
    </w:p>
    <w:p>
      <w:pPr>
        <w:pStyle w:val="TextBody"/>
        <w:bidi w:val="0"/>
        <w:spacing w:before="240" w:after="0"/>
        <w:jc w:val="left"/>
        <w:rPr/>
      </w:pPr>
      <w:r>
        <w:rPr/>
        <w:t>“</w:t>
      </w:r>
      <w:r>
        <w:rPr>
          <w:rFonts w:ascii="Times New Roman" w:hAnsi="Times New Roman"/>
          <w:sz w:val="20"/>
        </w:rPr>
        <w:t xml:space="preserve">Rating Agency Event” means, with respect to each series of the notes, as of any date, a change, clarification or amendment in the methodology published by any nationally recognized statistical rating organization within the meaning of Section 3(a)(62) of the Exchange Act (or any successor provision thereto), that then publishes a rating for Energy Transfer (together with any successor thereto, a “rating agency”) in assigning equity credit to securities such as the notes, (a) as such methodology was in effect on the date of this prospectus supplement, in the case of any rating agency that published a rating for Energy Transfer as of the date of this prospectus supplement, or (b) as such methodology was in effect on the date such rating agency first published a rating for Energy Transfer, in the case of any rating agency that first publishes a rating for Energy Transfer after the date of this prospectus supplement (in the case of either clause (a) or (b), the “current methodology”), that results in (i) any shortening of the length of time for which a particular level of equity credit pertaining to the applicable series of notes by such rating agency would have been in effect had the current methodology not been changed or (ii) a lower equity credit (including up to a lesser amount) being assigned by such rating agency to such notes as of the date of such change, clarification or amendment than the equity credit that would have been assigned to such notes by such rating agency had the current methodology not been changed. </w:t>
      </w:r>
    </w:p>
    <w:p>
      <w:pPr>
        <w:pStyle w:val="TextBody"/>
        <w:bidi w:val="0"/>
        <w:spacing w:before="240" w:after="0"/>
        <w:jc w:val="left"/>
        <w:rPr/>
      </w:pPr>
      <w:r>
        <w:rPr/>
        <w:t>“</w:t>
      </w:r>
      <w:r>
        <w:rPr>
          <w:rFonts w:ascii="Times New Roman" w:hAnsi="Times New Roman"/>
          <w:sz w:val="20"/>
        </w:rPr>
        <w:t xml:space="preserve">Exchange Act” means the Securities Exchange Act of 1934, as amended, and any successor statute.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Procedures; Cancellation of Redemption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statement under this caption “—Redemption” to the contrary, installments of interest on the notes that are due and payable on any interest payment date falling on or prior to a redemption date for the notes will be payable on that interest payment date to the registered holders thereof as of the close of business on the relevant regular record date according to the terms of the notes and the indenture, except that, if the redemption date for any notes falls on any day during an Optional Deferral Period (as defined below under “—Option to Defer Interest Payments”), accrued and unpaid interest (including, to the extent permitted by applicable law, any compound interest (as defined below under “—Option to Defer Interest Payments”)) on such notes will be paid on such redemption date to the persons entitled to receive the redemption price of such notes. The interest payment date falling immediately after the last day of an Optional Deferral Period shall not be deemed to fall on a day during such Optional Deferral Period. </w:t>
      </w:r>
    </w:p>
    <w:p>
      <w:pPr>
        <w:pStyle w:val="TextBody"/>
        <w:bidi w:val="0"/>
        <w:spacing w:before="240" w:after="0"/>
        <w:jc w:val="left"/>
        <w:rPr>
          <w:rFonts w:ascii="Times New Roman" w:hAnsi="Times New Roman"/>
          <w:sz w:val="20"/>
        </w:rPr>
      </w:pPr>
      <w:r>
        <w:rPr>
          <w:rFonts w:ascii="Times New Roman" w:hAnsi="Times New Roman"/>
          <w:sz w:val="20"/>
        </w:rPr>
        <w:t xml:space="preserve">Notice of redemption will be mailed or otherwise delivered at least 10 days but not more than 60 days before the redemption date to each registered holder of the notes to be redeemed, at the address of such holder appearing in the register of the notes maintained by the registrar, except that redemption notices may be 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 than 60 days prior to a redemption date if the notice is issued in connection with a defeasance of the notes or a satisfaction or discharge of the indenture with respect to the notes. Once notice of redemption is delivered, the notes called for redemption will become due and payable on the redemption date at the applicable redemption price, plus, subject to the terms described in the immediately preceding paragraph, accrued and unpaid interest to, but excluding, the redemption date, and will be paid upon surrender thereof for redemption, unless (a) the notice of redemption provides that such redemption shall be subject to the condition described in the next succeeding paragraph and (b) such redemption shall have been canceled in accordance with the provisions of the next succeeding paragraph because such condition shall not have been satisfied. If only part of a note is redeemed, the trustee will issue in the name of the registered holder of the note and deliver to such holder a new note in a principal amount equal to the unredeemed portion of the principal of the note surrendered for redemption. If we elect to redeem all or a portion of the notes, then, unless otherwise provided in such notice of redemption as described in the next succeeding paragraph, the redemption will not be conditional upon receipt by the paying agent or the trustee of monies sufficient to pay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If, at the time a notice of redemption is given, (i) we have not effected satisfaction and discharge or defeasance of the notes as described under “—Defeasance and Discharge” below and (ii) such notice of redemption is not being given in connection with or in order to effect satisfaction and discharge or defeasance of the notes, then, if the notice of redemption so provides and at our option, the redemption may be subject to the condition that the trustee shall have received, on or before the applicable redemption date, monies in an amount sufficient to pay the redemption price and accrued and unpaid interest on the notes called for redemption to, but excluding, the redemption date. If monies in such amount are not received by the trustee on or before such redemption date, such notice of redemption shall be automatically canceled and of no force or effect, such proposed redemption shall be automatically canceled and we shall not be required to redeem the notes called for redemption on such redemption date. In the event that a redemption is canceled, we will, not later than the business day immediately following the proposed redemption date, deliver, or cause to be delivered, notice of such cancellation to the registered holders of the notes called for redemption (which notice will also indicate that any notes or portions thereof surrendered for redemption shall be returned to the applicable holders), and we will direct the trustee to, and the trustee will, promptly return any notes or portions thereof that have been surrendered for redemption to the applicable holders. Unless we default in payment of the redemption price or the proposed redemption is canceled in accordance with the provisions set forth in the immediately preceding paragraph, on and after the redemption date interest will cease to accrue on the notes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of the notes of a series are redeemed at any time, the trustee will select the notes or any portions thereof in integral multiples of $1,000 to be redeemed on a pro rata basis, by lot or by any other method the trustee deems fair and appropriate and, when the notes are in the form of global securities, in accordance with the applicable procedures of The Depository Trust Company (“DTC”). </w:t>
      </w:r>
    </w:p>
    <w:p>
      <w:pPr>
        <w:pStyle w:val="TextBody"/>
        <w:bidi w:val="0"/>
        <w:spacing w:before="360" w:after="0"/>
        <w:jc w:val="left"/>
        <w:rPr>
          <w:rFonts w:ascii="Times New Roman" w:hAnsi="Times New Roman"/>
          <w:b/>
          <w:sz w:val="20"/>
        </w:rPr>
      </w:pPr>
      <w:r>
        <w:rPr>
          <w:rFonts w:ascii="Times New Roman" w:hAnsi="Times New Roman"/>
          <w:b/>
          <w:sz w:val="20"/>
        </w:rPr>
        <w:t xml:space="preserve">Option to Defer Interest Payments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notes will provide that so long as no event of default (as defined below under “—Events of Default”) with respect to the notes of such series has occurred and is continuing, we may, at our option, defer interest payments on such series of notes, from time to time, for one or more deferral periods of up to 20 consecutive Interest Payment Periods (as defined below) applicable to such series of notes each (each such deferral period, commencing on the interest payment date on which the first such deferred interest payment otherwise would have been made, an “Optional Deferral Period”), except that no such Optional Deferral Period may extend beyond the final maturity date of the notes of such series or end on a day other than the day immediately preceding an interest payment date applicable to such series of notes. During any Optional Deferral Period applicable to a series of notes, interest on the applicable series of notes will continue to accrue at the then-applicable interest rate on the notes of such series (as reset from time to time on any Reset Date occurring during such Optional Deferral Period in accordance with the terms of the notes of such series). In addition, during any Optional Deferral Period, interest on the deferred interest (“compound interest”) will accrue at the then-applicable interest rate on the notes with respect to the notes of either series (as reset from time to time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Reset Date occurring during such Optional Deferral Period in accordance with the terms of the notes of such series), compounded semi-annually,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No interest will be due or payable on the notes of such series during an Optional Deferral Period, except upon a redemption of any notes of such series on any redemption date during such Optional Deferral Period (in which case all accrued and unpaid interest (including, to the extent permitted by applicable law, any compound interest) on the notes of such series to be redeemed to, but excluding, such redemption date will be due and payable on such redemption date), or unless the principal of and interest on the notes of such series shall have been declared due and payable as the result of an event of default with respect to the notes of such series (in which case all accrued and unpaid interest, including, to the extent permitted by applicable law, any compound interest, on the notes of such series shall become due and payable). All references in the notes of such series and, insofar as relates to the notes, the indenture, to “interest” on the notes shall be deemed to include any such deferred interest and, to the extent permitted by applicable law, any compound interest, unless otherwise expressly stated or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each series of notes, before the end of any Optional Deferral Period that is shorter than 20 consecutive Interest Payment Periods, we may elect, at our option, to extend such Optional Deferral Period, so long as the entire Optional Deferral Period does not exceed 20 consecutive Interest Payment Periods or extend beyond the final maturity date of the notes of such series. We may also elect, at our option, to shorten the length of any Optional Deferral Period. No Optional Deferral Period (including as extended or shortened) may end on a day other than the day immediately preceding an interest payment date. At the end of any Optional Deferral Period, if all amounts then due on the notes of such series, including all accrued and unpaid interest thereon (including, without limitation and to the extent permitted by applicable law, any compound interest), are paid, we may elect to begin a new Optional Deferral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without limitation of the foregoing, we may not begin a new Optional Deferral Period unless we have paid all accrued and unpaid interest on the notes of such series (including, without limitation and to the extent permitted by applicable law, any compound interest) from any previous Optional Deferral Periods. </w:t>
      </w:r>
    </w:p>
    <w:p>
      <w:pPr>
        <w:pStyle w:val="TextBody"/>
        <w:bidi w:val="0"/>
        <w:spacing w:before="240" w:after="0"/>
        <w:jc w:val="left"/>
        <w:rPr>
          <w:rFonts w:ascii="Times New Roman" w:hAnsi="Times New Roman"/>
          <w:sz w:val="20"/>
        </w:rPr>
      </w:pPr>
      <w:r>
        <w:rPr>
          <w:rFonts w:ascii="Times New Roman" w:hAnsi="Times New Roman"/>
          <w:sz w:val="20"/>
        </w:rPr>
        <w:t xml:space="preserve">The terms of each series of notes will provide that during any Optional Deferral Period, we (and our subsidiaries, as applicable) will not do any of the following (subject to the exceptions set forth in the next succeeding paragraph):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or pay any dividends or distributions on any Capital Stock (as defined below) of Energy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 purchase, acquire or make a liquidation payment with respect to any Capital Stock of Energy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any principal, interest or premium on, or repay, repurchase or redeem, any indebtedness of Energy Transfer that ranks equally with or junior to the notes of such series in right of payment;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payments with respect to any guarantees by Energy Transfer of any indebtedness if such guarantees rank equally with or junior to the notes of such series in right of payment.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during an Optional Deferral Period, we may (a) declare and pay dividends or distributions payable solely in our common units (together with cash in lieu of any fractional unit) or options, warrants or rights to subscribe for or purchase units of our common units, (b) declare and pay any dividend or distribution in connection with the implementation of a plan (a “Rights Plan”) providing for the issuance by us to all holders of our common units of rights entitling them to subscribe for or purchase common units or any class or series of our preferred equity, which rights (1) are deemed to be transferred with such common units, (2) are not exercisable until the occurrence of a specified event or events and (3) are also issued in respect of future issuances of our common units, (c) issue any of shares of our Capital Stock under any Rights Plan or redeem or repurchase any rights distributed pursuant to a Rights Plan, (d) reclassify our Capital Stock or exchange or convert one class or series of our Capital Stock for another class or series of our Capital Stock, (e) purchase fractional interests in shares of our Capital Stock pursuant to the conversion or exchange provisions of such Capital Stock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security being converted or exchanged, and (f) purchase, acquire or withhold our common units related to the issuance of our common units or rights under any dividend reinvestment plan or related to any of our benefit plans for our directors, officers, employees, consultants or advisors, including any employment contract. </w:t>
      </w:r>
    </w:p>
    <w:p>
      <w:pPr>
        <w:pStyle w:val="TextBody"/>
        <w:bidi w:val="0"/>
        <w:spacing w:before="240" w:after="0"/>
        <w:jc w:val="left"/>
        <w:rPr>
          <w:rFonts w:ascii="Times New Roman" w:hAnsi="Times New Roman"/>
          <w:sz w:val="20"/>
        </w:rPr>
      </w:pPr>
      <w:r>
        <w:rPr>
          <w:rFonts w:ascii="Times New Roman" w:hAnsi="Times New Roman"/>
          <w:sz w:val="20"/>
        </w:rPr>
        <w:t xml:space="preserve">We will give the holders of the applicable series of notes and the trustee notice of our election of, or any shortening or extension of, an Optional Deferral Period at least 10 business days prior to the earlier of (1) the next succeeding interest payment date or (2) the date upon which we are required to give notice to any applicable self-regulatory organization or to holders of such notes of the next succeeding interest payment date or the record date therefor. The record date for the payment of deferred interest and, to the extent permitted by applicable law, any compound interest payable on the interest payment date immediately following the last day of an Optional Deferral Period will be the regular record date with respect to such interest payment date. </w:t>
      </w:r>
    </w:p>
    <w:p>
      <w:pPr>
        <w:pStyle w:val="TextBody"/>
        <w:bidi w:val="0"/>
        <w:spacing w:before="240" w:after="0"/>
        <w:jc w:val="left"/>
        <w:rPr/>
      </w:pPr>
      <w:r>
        <w:rPr/>
        <w:t>“</w:t>
      </w:r>
      <w:r>
        <w:rPr>
          <w:rFonts w:ascii="Times New Roman" w:hAnsi="Times New Roman"/>
          <w:sz w:val="20"/>
        </w:rPr>
        <w:t xml:space="preserve">Capital Stock” means (i) in the case of a corporation or a company, corporate stock or shares;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w:t>
      </w:r>
    </w:p>
    <w:p>
      <w:pPr>
        <w:pStyle w:val="TextBody"/>
        <w:bidi w:val="0"/>
        <w:spacing w:before="240" w:after="0"/>
        <w:jc w:val="left"/>
        <w:rPr/>
      </w:pPr>
      <w:r>
        <w:rPr/>
        <w:t>“</w:t>
      </w:r>
      <w:r>
        <w:rPr>
          <w:rFonts w:ascii="Times New Roman" w:hAnsi="Times New Roman"/>
          <w:sz w:val="20"/>
        </w:rPr>
        <w:t xml:space="preserve">Interest Payment Period” means the semi-annual period from and including an interest payment date to but excluding the next succeeding interest payment date, except for the first Interest Payment Period which shall be the period from and including the original issue date to but excluding January 15, 2027.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notes will provide that an “event of default” occurs with respect to the notes of such series if: </w:t>
      </w:r>
    </w:p>
    <w:p>
      <w:pPr>
        <w:pStyle w:val="TextBody"/>
        <w:bidi w:val="0"/>
        <w:spacing w:before="240" w:after="0"/>
        <w:jc w:val="left"/>
        <w:rPr>
          <w:rFonts w:ascii="Times New Roman" w:hAnsi="Times New Roman"/>
          <w:sz w:val="20"/>
        </w:rPr>
      </w:pPr>
      <w:r>
        <w:rPr>
          <w:rFonts w:ascii="Times New Roman" w:hAnsi="Times New Roman"/>
          <w:sz w:val="20"/>
        </w:rPr>
        <w:t xml:space="preserve">(a) we do not pay any interest on any note of such series when it becomes due and payable and such default continues for 30 days (regardless of whether such payment is prohibited by the subordination provisions applicable to the notes), except as the result of a deferral of interest payments in accordance with the provisions discussed above under “—Option to Defer Interest Payments”; </w:t>
      </w:r>
    </w:p>
    <w:p>
      <w:pPr>
        <w:pStyle w:val="TextBody"/>
        <w:bidi w:val="0"/>
        <w:spacing w:before="240" w:after="0"/>
        <w:jc w:val="left"/>
        <w:rPr>
          <w:rFonts w:ascii="Times New Roman" w:hAnsi="Times New Roman"/>
          <w:sz w:val="20"/>
        </w:rPr>
      </w:pPr>
      <w:r>
        <w:rPr>
          <w:rFonts w:ascii="Times New Roman" w:hAnsi="Times New Roman"/>
          <w:sz w:val="20"/>
        </w:rPr>
        <w:t xml:space="preserve">(b) we do not pay any principal of or premium, if any, on any note of such series when it becomes due and payable (regardless of whether such payment is prohibited by the subordination provisions applicable to the notes); </w:t>
      </w:r>
    </w:p>
    <w:p>
      <w:pPr>
        <w:pStyle w:val="TextBody"/>
        <w:bidi w:val="0"/>
        <w:spacing w:before="240" w:after="0"/>
        <w:jc w:val="left"/>
        <w:rPr>
          <w:rFonts w:ascii="Times New Roman" w:hAnsi="Times New Roman"/>
          <w:sz w:val="20"/>
        </w:rPr>
      </w:pPr>
      <w:r>
        <w:rPr>
          <w:rFonts w:ascii="Times New Roman" w:hAnsi="Times New Roman"/>
          <w:sz w:val="20"/>
        </w:rPr>
        <w:t xml:space="preserve">(c) we remain in breach of any other covenant (excluding covenants solely applicable to one or more other series of debt securities issued under the indenture) in the indenture or the notes of such series for 90 days after there has been given to us, by registered or certified mail, a written notice of default specifying such default or breach and requiring remedy of the default or breach; the notice must be sent by either the trustee or registered holders of at least 33% of the principal amount of the outstanding notes of such series; or </w:t>
      </w:r>
    </w:p>
    <w:p>
      <w:pPr>
        <w:pStyle w:val="TextBody"/>
        <w:bidi w:val="0"/>
        <w:spacing w:before="240" w:after="0"/>
        <w:jc w:val="left"/>
        <w:rPr>
          <w:rFonts w:ascii="Times New Roman" w:hAnsi="Times New Roman"/>
          <w:sz w:val="20"/>
        </w:rPr>
      </w:pPr>
      <w:r>
        <w:rPr>
          <w:rFonts w:ascii="Times New Roman" w:hAnsi="Times New Roman"/>
          <w:sz w:val="20"/>
        </w:rPr>
        <w:t xml:space="preserve">(d) Energy Transfer files for bankruptcy or other specified events of bankruptcy, insolvency, receivership or reorganization occur with respect to Energy Transfer. </w:t>
      </w:r>
    </w:p>
    <w:p>
      <w:pPr>
        <w:pStyle w:val="TextBody"/>
        <w:bidi w:val="0"/>
        <w:spacing w:before="240" w:after="0"/>
        <w:jc w:val="left"/>
        <w:rPr>
          <w:rFonts w:ascii="Times New Roman" w:hAnsi="Times New Roman"/>
          <w:sz w:val="20"/>
        </w:rPr>
      </w:pPr>
      <w:r>
        <w:rPr>
          <w:rFonts w:ascii="Times New Roman" w:hAnsi="Times New Roman"/>
          <w:sz w:val="20"/>
        </w:rPr>
        <w:t xml:space="preserve">However, as discussed below under “—Remedies—Acceleration,” neither the trustee nor the holders of the notes will be entitled to declare the notes to be due and payable immediately upon the occurrence of an event of default described in clause (c) above. </w:t>
      </w:r>
    </w:p>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either series of notes will necessarily constitute an event of default with respect to the debt securities of any other series issued under the indenture, and no event of default with respect to any such other series of debt securities issued under the indenture will necessarily constitute an event of default with respect to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Remedies </w:t>
      </w:r>
    </w:p>
    <w:p>
      <w:pPr>
        <w:pStyle w:val="TextBody"/>
        <w:bidi w:val="0"/>
        <w:spacing w:before="120" w:after="0"/>
        <w:jc w:val="left"/>
        <w:rPr>
          <w:rFonts w:ascii="Times New Roman" w:hAnsi="Times New Roman"/>
          <w:i/>
          <w:sz w:val="20"/>
        </w:rPr>
      </w:pPr>
      <w:r>
        <w:rPr>
          <w:rFonts w:ascii="Times New Roman" w:hAnsi="Times New Roman"/>
          <w:i/>
          <w:sz w:val="20"/>
        </w:rPr>
        <w:t xml:space="preserve">Acceleration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other than an event of default described in clause (c) under “—Events of Default” above, occurs and is continuing with respect to the notes of either series, then either the trustee or the registered holders of not less than 33% in principal amount of the outstanding notes of such series may declare the principal amount of all of the notes of such series, together with accrued and unpaid interest thereon, if any, to be due and payable immediately, by a notice in writing to us (and to the trustee if given by the registered holders), and upon any such declaration, such principal amount of all outstanding notes of such series and accrued and unpaid interest, if any, thereon shall become immediately due and payable. If an event of default described in clause (d) under “—Events of Default” above occurs and is continuing with respect to all series of subordinated debt securities issued under the base indenture at the time outstanding, then either the trustee or the registered holders of not less than 33% in principal amount of all such outstanding subordinated debt securities under the indenture may declare the principal amount of all such outstanding subordinated debt securities, together with accrued and unpaid interest thereon, to be due and payable immediately, and upon any such declaration, such principal amount of all outstanding notes and accrued and unpaid interest, if any, thereon shall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However, if an event of default described in clause (c) under “—Events of Default” above occurs and is continuing, neither the trustee nor the registered holders of the notes of such series will be entitled to declare the principal of the notes, or accrued or unpaid interest thereon, to be due and payable immediately, by reason of the occurrence and continuation of such event of default. See “Risk Factors—Holders of the notes will have limited rights of acceleration” above. However, they may exercise the other rights and remedies available under the indenture upon the occurrence of an event of default. </w:t>
      </w:r>
    </w:p>
    <w:p>
      <w:pPr>
        <w:pStyle w:val="TextBody"/>
        <w:bidi w:val="0"/>
        <w:spacing w:before="360" w:after="0"/>
        <w:jc w:val="left"/>
        <w:rPr>
          <w:rFonts w:ascii="Times New Roman" w:hAnsi="Times New Roman"/>
          <w:i/>
          <w:sz w:val="20"/>
        </w:rPr>
      </w:pPr>
      <w:r>
        <w:rPr>
          <w:rFonts w:ascii="Times New Roman" w:hAnsi="Times New Roman"/>
          <w:i/>
          <w:sz w:val="20"/>
        </w:rPr>
        <w:t xml:space="preserve">Rescission of Acceleration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in principal amount of each series of the notes may, by written notice to the trustee, rescind any acceleration with respect to the notes of such series and annul its consequences if rescission would not conflict with any judgment or decree of a court of competent jurisdiction and all existing events of default with respect to the notes of each series, other than the nonpayment of the principal of, premium, if any, and interest on the notes that have become due solely by such acceleration, have been cured or waived. </w:t>
      </w:r>
    </w:p>
    <w:p>
      <w:pPr>
        <w:pStyle w:val="TextBody"/>
        <w:bidi w:val="0"/>
        <w:spacing w:before="360" w:after="0"/>
        <w:jc w:val="left"/>
        <w:rPr>
          <w:rFonts w:ascii="Times New Roman" w:hAnsi="Times New Roman"/>
          <w:b/>
          <w:sz w:val="20"/>
        </w:rPr>
      </w:pPr>
      <w:r>
        <w:rPr>
          <w:rFonts w:ascii="Times New Roman" w:hAnsi="Times New Roman"/>
          <w:b/>
          <w:sz w:val="20"/>
        </w:rPr>
        <w:t xml:space="preserve">Control by Registered Holders; Limitations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each series of notes, subject to the indenture applicable to such series of notes, the registered holders of a majority in principal amount of the outstanding notes of such series will have the right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 the time, method and place of conducting any proceeding for any remedy available to the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any trust or power conferred on the trustee with respect to the notes of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rights of registered holders to make direction are subject to the following limitations: </w:t>
      </w:r>
    </w:p>
    <w:p>
      <w:pPr>
        <w:pStyle w:val="TextBody"/>
        <w:bidi w:val="0"/>
        <w:spacing w:before="240" w:after="0"/>
        <w:jc w:val="left"/>
        <w:rPr>
          <w:rFonts w:ascii="Times New Roman" w:hAnsi="Times New Roman"/>
          <w:sz w:val="20"/>
        </w:rPr>
      </w:pPr>
      <w:r>
        <w:rPr>
          <w:rFonts w:ascii="Times New Roman" w:hAnsi="Times New Roman"/>
          <w:sz w:val="20"/>
        </w:rPr>
        <w:t xml:space="preserve">(1) the registered holders’ directions will not conflict with any law or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(2) the trustee may also take any other action it deems proper which is consistent with the registered holders’ direction; </w:t>
      </w:r>
    </w:p>
    <w:p>
      <w:pPr>
        <w:pStyle w:val="TextBody"/>
        <w:bidi w:val="0"/>
        <w:spacing w:before="240" w:after="0"/>
        <w:jc w:val="left"/>
        <w:rPr>
          <w:rFonts w:ascii="Times New Roman" w:hAnsi="Times New Roman"/>
          <w:sz w:val="20"/>
        </w:rPr>
      </w:pPr>
      <w:r>
        <w:rPr>
          <w:rFonts w:ascii="Times New Roman" w:hAnsi="Times New Roman"/>
          <w:sz w:val="20"/>
        </w:rPr>
        <w:t xml:space="preserve">(3) the registered holders’ directions may be declined to be followed by the trustee where the trustee determines such directions would involve it in personal liability; and </w:t>
      </w:r>
    </w:p>
    <w:p>
      <w:pPr>
        <w:pStyle w:val="TextBody"/>
        <w:bidi w:val="0"/>
        <w:spacing w:before="240" w:after="0"/>
        <w:jc w:val="left"/>
        <w:rPr>
          <w:rFonts w:ascii="Times New Roman" w:hAnsi="Times New Roman"/>
          <w:sz w:val="20"/>
        </w:rPr>
      </w:pPr>
      <w:r>
        <w:rPr>
          <w:rFonts w:ascii="Times New Roman" w:hAnsi="Times New Roman"/>
          <w:sz w:val="20"/>
        </w:rPr>
        <w:t xml:space="preserve">(4) the registered holders have offered to the trustee security or indemnity satisfactory to it against any cost, liability, or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trustee, however, may refuse to follow any direction that conflicts with law or the indenture or that the trustee determines is unduly prejudicial to the rights of any other holder of notes or that would involve the trustee in personal liability.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is continuing with respect to all series of subordinated debt securities issued under the indenture, the registered holders of a majority in aggregate principal amount of the outstanding subordinated debt securities of all the series, considered as one class, will have the right to make such direction, and not the registered holders of the notes of any one of the series. </w:t>
      </w:r>
    </w:p>
    <w:p>
      <w:pPr>
        <w:pStyle w:val="TextBody"/>
        <w:bidi w:val="0"/>
        <w:spacing w:before="360" w:after="0"/>
        <w:jc w:val="left"/>
        <w:rPr>
          <w:rFonts w:ascii="Times New Roman" w:hAnsi="Times New Roman"/>
          <w:b/>
          <w:sz w:val="20"/>
        </w:rPr>
      </w:pPr>
      <w:r>
        <w:rPr>
          <w:rFonts w:ascii="Times New Roman" w:hAnsi="Times New Roman"/>
          <w:b/>
          <w:sz w:val="20"/>
        </w:rPr>
        <w:t xml:space="preserve">Notice of Default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notes of each series, the indenture provides that if a Default (that is, an event that is, or after notice or the passage of time would be, an Event of Default) with respect to the notes of such series occurs and is continuing and is known to the trustee, the trustee must send to each holder of notes of such series notice of the Default within 90 days after it occurs. With respect to the notes of each series, except in the case of a Default in the payment of principal of, and premium, if any, or interest on the notes of such series, the trustee may withhold such notice, but only if and so long as the trustee in good faith determines that withholding notice is in the interests of the holders of the notes of such series. In addition, Energy Transfer is required to deliver to the trustee, within 120 days after the end of each fiscal year, an officers’ certificate as to compliance with all covenants under the indenture and indicating whether the signers thereof know of any Default or Event of Default that occurred during the previous year. Energy Transfer also is required to deliver to the trustee, within 30 days after the occurrence thereof, an officers’ certificate specifying any Default or Event of Default, its status and what action Energy Transfer is taking or proposes to take in respect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i/>
          <w:sz w:val="20"/>
        </w:rPr>
      </w:pPr>
      <w:r>
        <w:rPr>
          <w:rFonts w:ascii="Times New Roman" w:hAnsi="Times New Roman"/>
          <w:i/>
          <w:sz w:val="20"/>
        </w:rPr>
        <w:t xml:space="preserve">Merger, Consolidation or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Energy Transfer shall not, in a transaction or series of transactions, consolidate with or merge into any Person or sell, lease, convey, transfer or otherwise dispose of all or substantially all of its assets to any Person unless: </w:t>
      </w:r>
    </w:p>
    <w:p>
      <w:pPr>
        <w:pStyle w:val="TextBody"/>
        <w:bidi w:val="0"/>
        <w:spacing w:before="240" w:after="0"/>
        <w:jc w:val="left"/>
        <w:rPr>
          <w:rFonts w:ascii="Times New Roman" w:hAnsi="Times New Roman"/>
          <w:sz w:val="20"/>
        </w:rPr>
      </w:pPr>
      <w:r>
        <w:rPr>
          <w:rFonts w:ascii="Times New Roman" w:hAnsi="Times New Roman"/>
          <w:sz w:val="20"/>
        </w:rPr>
        <w:t xml:space="preserve">(1) the Person formed by or resulting from any such consolidation or merger or to which such assets have been sold, leased, conveyed, transferred or otherwise disposed of (the “successor”) is Energy Transfer or expressly assumes by supplemental indenture all of Energy Transfer’s obligations and liabilities under the indenture and the notes; </w:t>
      </w:r>
    </w:p>
    <w:p>
      <w:pPr>
        <w:pStyle w:val="TextBody"/>
        <w:bidi w:val="0"/>
        <w:spacing w:before="240" w:after="0"/>
        <w:jc w:val="left"/>
        <w:rPr>
          <w:rFonts w:ascii="Times New Roman" w:hAnsi="Times New Roman"/>
          <w:sz w:val="20"/>
        </w:rPr>
      </w:pPr>
      <w:r>
        <w:rPr>
          <w:rFonts w:ascii="Times New Roman" w:hAnsi="Times New Roman"/>
          <w:sz w:val="20"/>
        </w:rPr>
        <w:t xml:space="preserve">(2) the successor is organized under the laws of the United States, any state thereof or the District of Columbia; </w:t>
      </w:r>
    </w:p>
    <w:p>
      <w:pPr>
        <w:pStyle w:val="TextBody"/>
        <w:bidi w:val="0"/>
        <w:spacing w:before="240" w:after="0"/>
        <w:jc w:val="left"/>
        <w:rPr>
          <w:rFonts w:ascii="Times New Roman" w:hAnsi="Times New Roman"/>
          <w:sz w:val="20"/>
        </w:rPr>
      </w:pPr>
      <w:r>
        <w:rPr>
          <w:rFonts w:ascii="Times New Roman" w:hAnsi="Times New Roman"/>
          <w:sz w:val="20"/>
        </w:rPr>
        <w:t xml:space="preserve">(3) immediately after giving effect to the transaction or series of transactions, no Default or Event of Default has occurred and is continuing under such indenture; and </w:t>
      </w:r>
    </w:p>
    <w:p>
      <w:pPr>
        <w:pStyle w:val="TextBody"/>
        <w:bidi w:val="0"/>
        <w:spacing w:before="240" w:after="0"/>
        <w:jc w:val="left"/>
        <w:rPr>
          <w:rFonts w:ascii="Times New Roman" w:hAnsi="Times New Roman"/>
          <w:sz w:val="20"/>
        </w:rPr>
      </w:pPr>
      <w:r>
        <w:rPr>
          <w:rFonts w:ascii="Times New Roman" w:hAnsi="Times New Roman"/>
          <w:sz w:val="20"/>
        </w:rPr>
        <w:t xml:space="preserve">(4) Energy Transfer has delivered to the trustee an officers’ certificate and an opinion of counsel, each stating that such consolidation, merger or transfer complies with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successor will be substituted for Energy Transfer in such indenture with the same effect as if it had been an original party to such indenture. Thereafter, the successor may exercise the rights and powers of Energy Transfer under such indenture. Each of the indentures will provide that if Energy Transfer conveys or transfers all or substantially all of its assets, it will be released from all liabilities and obligations under such indenture and under the notes issued thereunder, except that no such release will occur in the case of a lease of all or substantially all of its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Person” means any individual, corporation, partnership, limited liability company, joint venture, incorporated or unincorporated association, joint-stock company, trust, unincorporated organization, government or any agency or political subdivision thereof or any other entity. </w:t>
      </w:r>
    </w:p>
    <w:p>
      <w:pPr>
        <w:pStyle w:val="TextBody"/>
        <w:bidi w:val="0"/>
        <w:spacing w:before="360" w:after="0"/>
        <w:jc w:val="left"/>
        <w:rPr>
          <w:rFonts w:ascii="Times New Roman" w:hAnsi="Times New Roman"/>
          <w:i/>
          <w:sz w:val="20"/>
        </w:rPr>
      </w:pPr>
      <w:r>
        <w:rPr>
          <w:rFonts w:ascii="Times New Roman" w:hAnsi="Times New Roman"/>
          <w:i/>
          <w:sz w:val="20"/>
        </w:rPr>
        <w:t xml:space="preserve">No Financial Covenants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contains no financial or other similar restrictive covenants with respect to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and Waivers </w:t>
      </w:r>
    </w:p>
    <w:p>
      <w:pPr>
        <w:pStyle w:val="TextBody"/>
        <w:bidi w:val="0"/>
        <w:spacing w:before="120" w:after="0"/>
        <w:jc w:val="left"/>
        <w:rPr>
          <w:rFonts w:ascii="Times New Roman" w:hAnsi="Times New Roman"/>
          <w:sz w:val="20"/>
        </w:rPr>
      </w:pPr>
      <w:r>
        <w:rPr>
          <w:rFonts w:ascii="Times New Roman" w:hAnsi="Times New Roman"/>
          <w:sz w:val="20"/>
        </w:rPr>
        <w:t xml:space="preserve">Amendments of the indenture may be made by Energy Transfer and the trustee with the written consent of the holders of a majority in principal amount of the then outstanding notes of the affected series (including consents obtained in connection with a tender offer or exchange offer for debt securities). However, without the consent of each holder of an affected note, no amendment may, among other things: </w:t>
      </w:r>
    </w:p>
    <w:p>
      <w:pPr>
        <w:pStyle w:val="TextBody"/>
        <w:bidi w:val="0"/>
        <w:spacing w:before="240" w:after="0"/>
        <w:jc w:val="left"/>
        <w:rPr>
          <w:rFonts w:ascii="Times New Roman" w:hAnsi="Times New Roman"/>
          <w:sz w:val="20"/>
        </w:rPr>
      </w:pPr>
      <w:r>
        <w:rPr>
          <w:rFonts w:ascii="Times New Roman" w:hAnsi="Times New Roman"/>
          <w:sz w:val="20"/>
        </w:rPr>
        <w:t xml:space="preserve">(1) reduce the percentage in principal amount of notes whose holders must consent to an amendment; </w:t>
      </w:r>
    </w:p>
    <w:p>
      <w:pPr>
        <w:pStyle w:val="TextBody"/>
        <w:bidi w:val="0"/>
        <w:spacing w:before="240" w:after="0"/>
        <w:jc w:val="left"/>
        <w:rPr>
          <w:rFonts w:ascii="Times New Roman" w:hAnsi="Times New Roman"/>
          <w:sz w:val="20"/>
        </w:rPr>
      </w:pPr>
      <w:r>
        <w:rPr>
          <w:rFonts w:ascii="Times New Roman" w:hAnsi="Times New Roman"/>
          <w:sz w:val="20"/>
        </w:rPr>
        <w:t xml:space="preserve">(2) reduce the rate of or extend the time for payment of interest, including default interest, on any note beyond the maximum time period for any permitted extension or deferral or to increase the maximum time period for any such interest extension or deferral or to increase the maximum number of times we may extend or defer such interest payment; </w:t>
      </w:r>
    </w:p>
    <w:p>
      <w:pPr>
        <w:pStyle w:val="TextBody"/>
        <w:bidi w:val="0"/>
        <w:spacing w:before="240" w:after="0"/>
        <w:jc w:val="left"/>
        <w:rPr>
          <w:rFonts w:ascii="Times New Roman" w:hAnsi="Times New Roman"/>
          <w:sz w:val="20"/>
        </w:rPr>
      </w:pPr>
      <w:r>
        <w:rPr>
          <w:rFonts w:ascii="Times New Roman" w:hAnsi="Times New Roman"/>
          <w:sz w:val="20"/>
        </w:rPr>
        <w:t xml:space="preserve">(3) reduce the principal of or extend the stated maturity of any note; </w:t>
      </w:r>
    </w:p>
    <w:p>
      <w:pPr>
        <w:pStyle w:val="TextBody"/>
        <w:bidi w:val="0"/>
        <w:spacing w:before="240" w:after="0"/>
        <w:jc w:val="left"/>
        <w:rPr>
          <w:rFonts w:ascii="Times New Roman" w:hAnsi="Times New Roman"/>
          <w:sz w:val="20"/>
        </w:rPr>
      </w:pPr>
      <w:r>
        <w:rPr>
          <w:rFonts w:ascii="Times New Roman" w:hAnsi="Times New Roman"/>
          <w:sz w:val="20"/>
        </w:rPr>
        <w:t xml:space="preserve">(4) reduce the premium payable upon the redemption of any note as described above under “—Redemption;” </w:t>
      </w:r>
    </w:p>
    <w:p>
      <w:pPr>
        <w:pStyle w:val="TextBody"/>
        <w:bidi w:val="0"/>
        <w:spacing w:before="240" w:after="0"/>
        <w:jc w:val="left"/>
        <w:rPr>
          <w:rFonts w:ascii="Times New Roman" w:hAnsi="Times New Roman"/>
          <w:sz w:val="20"/>
        </w:rPr>
      </w:pPr>
      <w:r>
        <w:rPr>
          <w:rFonts w:ascii="Times New Roman" w:hAnsi="Times New Roman"/>
          <w:sz w:val="20"/>
        </w:rPr>
        <w:t xml:space="preserve">(5) change any obligation of Energy Transfer to pay additional amounts with respect to any note; </w:t>
      </w:r>
    </w:p>
    <w:p>
      <w:pPr>
        <w:pStyle w:val="TextBody"/>
        <w:bidi w:val="0"/>
        <w:spacing w:before="240" w:after="0"/>
        <w:jc w:val="left"/>
        <w:rPr>
          <w:rFonts w:ascii="Times New Roman" w:hAnsi="Times New Roman"/>
          <w:sz w:val="20"/>
        </w:rPr>
      </w:pPr>
      <w:r>
        <w:rPr>
          <w:rFonts w:ascii="Times New Roman" w:hAnsi="Times New Roman"/>
          <w:sz w:val="20"/>
        </w:rPr>
        <w:t xml:space="preserve">(6) make any notes payable in money other than U.S. dollars; </w:t>
      </w:r>
    </w:p>
    <w:p>
      <w:pPr>
        <w:pStyle w:val="TextBody"/>
        <w:bidi w:val="0"/>
        <w:spacing w:before="240" w:after="0"/>
        <w:jc w:val="left"/>
        <w:rPr>
          <w:rFonts w:ascii="Times New Roman" w:hAnsi="Times New Roman"/>
          <w:sz w:val="20"/>
        </w:rPr>
      </w:pPr>
      <w:r>
        <w:rPr>
          <w:rFonts w:ascii="Times New Roman" w:hAnsi="Times New Roman"/>
          <w:sz w:val="20"/>
        </w:rPr>
        <w:t xml:space="preserve">(7) impair the right of any holder to receive payment of the principal of and premium, if any, and interest on such holder’s note or to institute suit for the enforcement of any payment on or with respect to such holder’s note; </w:t>
      </w:r>
    </w:p>
    <w:p>
      <w:pPr>
        <w:pStyle w:val="TextBody"/>
        <w:bidi w:val="0"/>
        <w:spacing w:before="240" w:after="0"/>
        <w:jc w:val="left"/>
        <w:rPr>
          <w:rFonts w:ascii="Times New Roman" w:hAnsi="Times New Roman"/>
          <w:sz w:val="20"/>
        </w:rPr>
      </w:pPr>
      <w:r>
        <w:rPr>
          <w:rFonts w:ascii="Times New Roman" w:hAnsi="Times New Roman"/>
          <w:sz w:val="20"/>
        </w:rPr>
        <w:t xml:space="preserve">(8) waive a continuing Default or Event of Default in the payment of principal and premium, if any, and interest with respect to such holder’s note; or </w:t>
      </w:r>
    </w:p>
    <w:p>
      <w:pPr>
        <w:pStyle w:val="TextBody"/>
        <w:bidi w:val="0"/>
        <w:spacing w:before="240" w:after="0"/>
        <w:jc w:val="left"/>
        <w:rPr>
          <w:rFonts w:ascii="Times New Roman" w:hAnsi="Times New Roman"/>
          <w:sz w:val="20"/>
        </w:rPr>
      </w:pPr>
      <w:r>
        <w:rPr>
          <w:rFonts w:ascii="Times New Roman" w:hAnsi="Times New Roman"/>
          <w:sz w:val="20"/>
        </w:rPr>
        <w:t xml:space="preserve">(9) make any change in the amendment provisions which require each holder’s consent or in the waiver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notes of any series, on behalf of all such holders, may waive any past or existing default or Event of Default with respect to the notes of such series (including any such waiver obtained in connection with a tender offer or exchange offer for the notes), except a default or Event of Default in the payment of principal, premium or interest or in respect of a provision that under the indenture cannot be modified or amended without the consent of the holder of each outstanding note affected. A waiver by the holders of notes of any series of compliance with a covenant, a default or an Event of Default will not constitute a waiver of compliance with such covenant or such default or Event of Default with respect to any other series of debt securities issued under the indenture to which such covenant, default or Event of Default applies. </w:t>
      </w:r>
    </w:p>
    <w:p>
      <w:pPr>
        <w:pStyle w:val="TextBody"/>
        <w:bidi w:val="0"/>
        <w:spacing w:before="240" w:after="0"/>
        <w:jc w:val="left"/>
        <w:rPr>
          <w:rFonts w:ascii="Times New Roman" w:hAnsi="Times New Roman"/>
          <w:sz w:val="20"/>
        </w:rPr>
      </w:pPr>
      <w:r>
        <w:rPr>
          <w:rFonts w:ascii="Times New Roman" w:hAnsi="Times New Roman"/>
          <w:sz w:val="20"/>
        </w:rPr>
        <w:t xml:space="preserve">Without the consent of any holder, Energy Transfer and the trustee may amend the indenture to: </w:t>
      </w:r>
    </w:p>
    <w:p>
      <w:pPr>
        <w:pStyle w:val="TextBody"/>
        <w:bidi w:val="0"/>
        <w:spacing w:before="240" w:after="0"/>
        <w:jc w:val="left"/>
        <w:rPr>
          <w:rFonts w:ascii="Times New Roman" w:hAnsi="Times New Roman"/>
          <w:sz w:val="20"/>
        </w:rPr>
      </w:pPr>
      <w:r>
        <w:rPr>
          <w:rFonts w:ascii="Times New Roman" w:hAnsi="Times New Roman"/>
          <w:sz w:val="20"/>
        </w:rPr>
        <w:t xml:space="preserve">(1) cure any ambiguity, omission, defect or inconsistency;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 provide for the assumption by a successor of the obligations of Energy Transfer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(3) provide for uncertificated notes in addition to or in place of certificated notes; </w:t>
      </w:r>
    </w:p>
    <w:p>
      <w:pPr>
        <w:pStyle w:val="TextBody"/>
        <w:bidi w:val="0"/>
        <w:spacing w:before="240" w:after="0"/>
        <w:jc w:val="left"/>
        <w:rPr>
          <w:rFonts w:ascii="Times New Roman" w:hAnsi="Times New Roman"/>
          <w:sz w:val="20"/>
        </w:rPr>
      </w:pPr>
      <w:r>
        <w:rPr>
          <w:rFonts w:ascii="Times New Roman" w:hAnsi="Times New Roman"/>
          <w:sz w:val="20"/>
        </w:rPr>
        <w:t xml:space="preserve">(4) secure the notes; </w:t>
      </w:r>
    </w:p>
    <w:p>
      <w:pPr>
        <w:pStyle w:val="TextBody"/>
        <w:bidi w:val="0"/>
        <w:spacing w:before="240" w:after="0"/>
        <w:jc w:val="left"/>
        <w:rPr>
          <w:rFonts w:ascii="Times New Roman" w:hAnsi="Times New Roman"/>
          <w:sz w:val="20"/>
        </w:rPr>
      </w:pPr>
      <w:r>
        <w:rPr>
          <w:rFonts w:ascii="Times New Roman" w:hAnsi="Times New Roman"/>
          <w:sz w:val="20"/>
        </w:rPr>
        <w:t xml:space="preserve">(5) comply with any requirement in order to effect or maintain the qualification of the indenture under the Trust Indenture Act of 1939, as amended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(6) add to the covenants of Energy Transfer for the benefit of the holders or surrender any right or power conferred upon Energy Transfer; </w:t>
      </w:r>
    </w:p>
    <w:p>
      <w:pPr>
        <w:pStyle w:val="TextBody"/>
        <w:bidi w:val="0"/>
        <w:spacing w:before="240" w:after="0"/>
        <w:jc w:val="left"/>
        <w:rPr>
          <w:rFonts w:ascii="Times New Roman" w:hAnsi="Times New Roman"/>
          <w:sz w:val="20"/>
        </w:rPr>
      </w:pPr>
      <w:r>
        <w:rPr>
          <w:rFonts w:ascii="Times New Roman" w:hAnsi="Times New Roman"/>
          <w:sz w:val="20"/>
        </w:rPr>
        <w:t xml:space="preserve">(7) add any additional 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(8) make any change that does not adversely affect the rights under the indenture of any holder; </w:t>
      </w:r>
    </w:p>
    <w:p>
      <w:pPr>
        <w:pStyle w:val="TextBody"/>
        <w:bidi w:val="0"/>
        <w:spacing w:before="240" w:after="0"/>
        <w:jc w:val="left"/>
        <w:rPr>
          <w:rFonts w:ascii="Times New Roman" w:hAnsi="Times New Roman"/>
          <w:sz w:val="20"/>
        </w:rPr>
      </w:pPr>
      <w:r>
        <w:rPr>
          <w:rFonts w:ascii="Times New Roman" w:hAnsi="Times New Roman"/>
          <w:sz w:val="20"/>
        </w:rPr>
        <w:t xml:space="preserve">(9) supplement any of the provisions of the indenture to facilitate the defeasance and discharge of notes pursuant to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(10) comply with any requirement of the SEC in connection with the qualification of the indenture under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(11) conform the text of the indenture to any provision of this “Description of the Notes” to the extent that such text of the indenture was intended to reflect such provision of this “Description of the Notes;” and </w:t>
      </w:r>
    </w:p>
    <w:p>
      <w:pPr>
        <w:pStyle w:val="TextBody"/>
        <w:bidi w:val="0"/>
        <w:spacing w:before="240" w:after="0"/>
        <w:jc w:val="left"/>
        <w:rPr>
          <w:rFonts w:ascii="Times New Roman" w:hAnsi="Times New Roman"/>
          <w:sz w:val="20"/>
        </w:rPr>
      </w:pPr>
      <w:r>
        <w:rPr>
          <w:rFonts w:ascii="Times New Roman" w:hAnsi="Times New Roman"/>
          <w:sz w:val="20"/>
        </w:rPr>
        <w:t xml:space="preserve">(12) provide for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The consent of the holders is not necessary under the indenture to approve the particular form of any proposed amendment. It is sufficient if such consent approves the substance of the proposed amendment. After an amendment with the consent of the holders under the indenture becomes effective, Energy Transfer is required to send to all holders of notes a notice briefly describing such amendment. However, the failure to give such notice to all such holders, or any defect therein, will not impair or affect the validity of the amendment.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and Discharge </w:t>
      </w:r>
    </w:p>
    <w:p>
      <w:pPr>
        <w:pStyle w:val="TextBody"/>
        <w:bidi w:val="0"/>
        <w:spacing w:before="120" w:after="0"/>
        <w:jc w:val="left"/>
        <w:rPr>
          <w:rFonts w:ascii="Times New Roman" w:hAnsi="Times New Roman"/>
          <w:sz w:val="20"/>
        </w:rPr>
      </w:pPr>
      <w:r>
        <w:rPr>
          <w:rFonts w:ascii="Times New Roman" w:hAnsi="Times New Roman"/>
          <w:sz w:val="20"/>
        </w:rPr>
        <w:t xml:space="preserve">Energy Transfer at any time may terminate all its obligations under the indenture as they relate to a given series of notes (“legal defeasance”), except for certain obligations, including those respecting the defeasance trust and obligations to register the transfer of or exchange the notes, to replace mutilated, destroyed, lost or stolen notes and to maintain a registrar and paying agent in respect of the notes. </w:t>
      </w:r>
    </w:p>
    <w:p>
      <w:pPr>
        <w:pStyle w:val="TextBody"/>
        <w:bidi w:val="0"/>
        <w:spacing w:before="240" w:after="0"/>
        <w:jc w:val="left"/>
        <w:rPr>
          <w:rFonts w:ascii="Times New Roman" w:hAnsi="Times New Roman"/>
          <w:sz w:val="20"/>
        </w:rPr>
      </w:pPr>
      <w:r>
        <w:rPr>
          <w:rFonts w:ascii="Times New Roman" w:hAnsi="Times New Roman"/>
          <w:sz w:val="20"/>
        </w:rPr>
        <w:t xml:space="preserve">If Energy Transfer exercises its legal defeasance option, payment of the notes of the applicable series may not be accelerated because of an Event of Default, and any security that may have been granted with respect to the notes will be released. </w:t>
      </w:r>
    </w:p>
    <w:p>
      <w:pPr>
        <w:pStyle w:val="TextBody"/>
        <w:bidi w:val="0"/>
        <w:spacing w:before="240" w:after="0"/>
        <w:jc w:val="left"/>
        <w:rPr>
          <w:rFonts w:ascii="Times New Roman" w:hAnsi="Times New Roman"/>
          <w:sz w:val="20"/>
        </w:rPr>
      </w:pPr>
      <w:r>
        <w:rPr>
          <w:rFonts w:ascii="Times New Roman" w:hAnsi="Times New Roman"/>
          <w:sz w:val="20"/>
        </w:rPr>
        <w:t xml:space="preserve">In order to exercise the defeasance option, Energy Transfer must irrevocably deposit in trust (the “defeasance trust”) with the trustee money, U.S. Government Obligations (as defined in the indenture) or a combination thereof for the payment of principal, premium, if any, and interest on the notes to redemption or stated maturity, as the case may be, and must comply with certain other conditions, including delivery to the trustee of an opinion of counsel (subject to customary exceptions and exclusions) to the effect that holders of the notes will not recognize income, gain or loss for United States federal income tax purposes as a result of such defeasance and will be subject to United States federal income tax on the same amounts and in the same manner and at the same times as would have been the case if such defeasance had not occurred. Such opinion of counsel must be based on a ruling of the Internal Revenue Service or other change in applicable United States federal income tax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event of any legal defeasance, holders of the notes would be entitled to look only to the defeasance trust for payment of principal of and any premium and interest on their notes until maturity.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Energy Transfer may discharge all its obligations under the indenture with respect to the notes, other than its obligation to register the transfer of and exchange notes, provided that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delivers all outstanding notes of such series to the trustee for cancellation;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such notes not so delivered for cancellation have either become due and payable or will become due and payable at their stated maturity within one year or are called for redemption within one year, and in the case of this bullet point, it has deposited with the trustee in trust an amount of cash sufficient to pay the entire indebtedness of such notes, including interest to the stated maturity or applicable redemption date.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Book-Entry System </w:t>
      </w:r>
    </w:p>
    <w:p>
      <w:pPr>
        <w:pStyle w:val="TextBody"/>
        <w:bidi w:val="0"/>
        <w:spacing w:before="120" w:after="0"/>
        <w:jc w:val="left"/>
        <w:rPr>
          <w:rFonts w:ascii="Times New Roman" w:hAnsi="Times New Roman"/>
          <w:sz w:val="20"/>
        </w:rPr>
      </w:pPr>
      <w:r>
        <w:rPr>
          <w:rFonts w:ascii="Times New Roman" w:hAnsi="Times New Roman"/>
          <w:sz w:val="20"/>
        </w:rPr>
        <w:t xml:space="preserve">We have obtained the information in this section concerning DTC and its book-entry systems and procedures from DTC, but we take no responsibility for the accuracy of this information. In addition, the description in this section reflects our understanding of the rules and procedures of DTC as they are currently in effect. DTC could change its rules and procedures at any time. </w:t>
      </w:r>
    </w:p>
    <w:p>
      <w:pPr>
        <w:pStyle w:val="TextBody"/>
        <w:bidi w:val="0"/>
        <w:spacing w:before="240" w:after="0"/>
        <w:jc w:val="left"/>
        <w:rPr>
          <w:rFonts w:ascii="Times New Roman" w:hAnsi="Times New Roman"/>
          <w:sz w:val="20"/>
        </w:rPr>
      </w:pPr>
      <w:r>
        <w:rPr>
          <w:rFonts w:ascii="Times New Roman" w:hAnsi="Times New Roman"/>
          <w:sz w:val="20"/>
        </w:rPr>
        <w:t xml:space="preserve">Each series of the notes will initially be represented by one or more fully registered global notes. Each such global note will be deposited with, or on behalf of, DTC or any successor thereto and registered in the name of Cede &amp; Co. (DTC’s nominee). You may hold your interests in the global notes through DTC either as a participant in DTC or indirectly through organizations that are participants in DTC. </w:t>
      </w:r>
    </w:p>
    <w:p>
      <w:pPr>
        <w:pStyle w:val="TextBody"/>
        <w:bidi w:val="0"/>
        <w:spacing w:before="240" w:after="0"/>
        <w:jc w:val="left"/>
        <w:rPr>
          <w:rFonts w:ascii="Times New Roman" w:hAnsi="Times New Roman"/>
          <w:sz w:val="20"/>
        </w:rPr>
      </w:pPr>
      <w:r>
        <w:rPr>
          <w:rFonts w:ascii="Times New Roman" w:hAnsi="Times New Roman"/>
          <w:sz w:val="20"/>
        </w:rPr>
        <w:t xml:space="preserve">So long as DTC or its nominee is the registered owner of the global securities representing the notes, DTC or such nominee will be considered the sole owner and holder of the notes for all purposes of the notes and the indenture. 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DTC or its nominee and, if such person is not a participant, on the procedures of the participant through which such person owns its interest, in order to exercise any rights of a holder of notes. </w:t>
      </w:r>
    </w:p>
    <w:p>
      <w:pPr>
        <w:pStyle w:val="TextBody"/>
        <w:bidi w:val="0"/>
        <w:spacing w:before="240" w:after="0"/>
        <w:jc w:val="left"/>
        <w:rPr>
          <w:rFonts w:ascii="Times New Roman" w:hAnsi="Times New Roman"/>
          <w:sz w:val="20"/>
        </w:rPr>
      </w:pPr>
      <w:r>
        <w:rPr>
          <w:rFonts w:ascii="Times New Roman" w:hAnsi="Times New Roman"/>
          <w:sz w:val="20"/>
        </w:rPr>
        <w:t xml:space="preserve">Payments of principal of, premium, if any, on, and interest due on the notes representing book-entry notes on any interest payment date or on the maturity date will be made available to the trustee by 10:00 a.m., New York City time, on such date, unless such date falls on a day that is not a business day, in which case (x) such payments will be made available to the trustee by 10:00 a.m., New York City time, on the next business day, and (y) for so long as clause (x) is satisfied, no interest shall accrue on the amount of interest due on such interest payment date for the period from and after such interest payment date and the date of payment. As soon as possible thereafter, the trustee will make such payments to the depositary. </w:t>
      </w:r>
    </w:p>
    <w:p>
      <w:pPr>
        <w:pStyle w:val="TextBody"/>
        <w:bidi w:val="0"/>
        <w:spacing w:before="240" w:after="0"/>
        <w:jc w:val="left"/>
        <w:rPr>
          <w:rFonts w:ascii="Times New Roman" w:hAnsi="Times New Roman"/>
          <w:sz w:val="20"/>
        </w:rPr>
      </w:pPr>
      <w:r>
        <w:rPr>
          <w:rFonts w:ascii="Times New Roman" w:hAnsi="Times New Roman"/>
          <w:b/>
          <w:i/>
          <w:sz w:val="20"/>
        </w:rPr>
        <w:t>The Depository Trust Company</w:t>
      </w:r>
      <w:r>
        <w:rPr>
          <w:rFonts w:ascii="Times New Roman" w:hAnsi="Times New Roman"/>
          <w:sz w:val="20"/>
        </w:rPr>
        <w:t xml:space="preserve">. DTC will act as securities depositary for the notes. The notes will be issued as fully registered notes registered in the name of Cede &amp; Co. DTC has advised us as follows: DTC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pursuant to the provisions of Section 17A of the Exchange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DTC holds securities that its direct participants deposit with DTC. DTC facilitates the settlement among direct participants of securities transactions, such as transfers and pledges, in deposited securities through electronic computerized book-entry changes in direct participants’ accounts, thereby eliminating the need for physical movement of securities certificates. </w:t>
      </w:r>
    </w:p>
    <w:p>
      <w:pPr>
        <w:pStyle w:val="TextBody"/>
        <w:bidi w:val="0"/>
        <w:spacing w:before="240" w:after="0"/>
        <w:jc w:val="left"/>
        <w:rPr>
          <w:rFonts w:ascii="Times New Roman" w:hAnsi="Times New Roman"/>
          <w:sz w:val="20"/>
        </w:rPr>
      </w:pPr>
      <w:r>
        <w:rPr>
          <w:rFonts w:ascii="Times New Roman" w:hAnsi="Times New Roman"/>
          <w:sz w:val="20"/>
        </w:rPr>
        <w:t xml:space="preserve">Direct participants of DTC include securities brokers and dealers (including the underwriters), banks, trust companies, clearing corporations, and certain other organizations. DTC is owned by a number of its direct participants. Access to the DTC system is also available to securities brokers and dealers, banks and trust companies that clear through or maintain a custodial relationship with a direct participant,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If you are not a direct participant or an indirect participant and you wish to purchase, sell or otherwise transfer ownership of, or other interests in, notes, you must do so through a direct participant or an indirect participant. DTC agrees with and represents to DTC participants that it will administer its book-entry system in accordance with its rules and by-laws and requirements of law. The SEC has on file a set of the rules applicable to DTC and its 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Purchases of notes under DTC’s system must be made by or through direct participants, who will receive a credit for the notes on DTC’s records. The ownership interest of each beneficial owner is in turn to be recorded on the records of direct participants and indirect participants. Beneficial owners will not receive written confirmation from DTC of their purchase, but beneficial owners are expected to receive written confirmations providing details of the transaction, as well as periodic statements of their holdings, from the direct participants or indirect participants through which such beneficial owners entered into the transaction. Transfers of ownership interests in the notes are to be accomplished by entries made on the books of participants acting on behalf of beneficial owners. Beneficial owners will not receive certificates representing their ownership interests in the notes, except in the event that use of the book-entry system for the notes is discontinued.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notes deposited by direct participants with DTC are registered in the name of DTC’s nominee, Cede &amp; Co., or such other name as may be requested by an authorized representative of DTC. The deposit of notes with DTC and their registration in the name of Cede &amp; Co. do not affect any change in beneficial ownership. DTC has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w:t>
      </w:r>
    </w:p>
    <w:p>
      <w:pPr>
        <w:pStyle w:val="TextBody"/>
        <w:bidi w:val="0"/>
        <w:spacing w:before="240" w:after="0"/>
        <w:jc w:val="left"/>
        <w:rPr>
          <w:rFonts w:ascii="Times New Roman" w:hAnsi="Times New Roman"/>
          <w:sz w:val="20"/>
        </w:rPr>
      </w:pPr>
      <w:r>
        <w:rPr>
          <w:rFonts w:ascii="Times New Roman" w:hAnsi="Times New Roman"/>
          <w:b/>
          <w:i/>
          <w:sz w:val="20"/>
        </w:rPr>
        <w:t>Book-Entry Format</w:t>
      </w:r>
      <w:r>
        <w:rPr>
          <w:rFonts w:ascii="Times New Roman" w:hAnsi="Times New Roman"/>
          <w:sz w:val="20"/>
        </w:rPr>
        <w:t xml:space="preserve">. Under the book-entry format, the trustee will pay interest or principal payments to Cede &amp; Co., as nominee of DTC. DTC will forward the payment to the direct participants, who will then forward the payment to the indirect participants or to you as the beneficial owner. You may experience some delay in receiving your payments under this system. Neither we, the trustee under the indenture nor any paying agent has any direct responsibility or liability for the payment of principal or interest on the notes to owners of beneficial interests in the notes. </w:t>
      </w:r>
    </w:p>
    <w:p>
      <w:pPr>
        <w:pStyle w:val="TextBody"/>
        <w:bidi w:val="0"/>
        <w:spacing w:before="240" w:after="0"/>
        <w:jc w:val="left"/>
        <w:rPr>
          <w:rFonts w:ascii="Times New Roman" w:hAnsi="Times New Roman"/>
          <w:sz w:val="20"/>
        </w:rPr>
      </w:pPr>
      <w:r>
        <w:rPr>
          <w:rFonts w:ascii="Times New Roman" w:hAnsi="Times New Roman"/>
          <w:sz w:val="20"/>
        </w:rPr>
        <w:t xml:space="preserve">DTC is required to make book-entry transfers on behalf of its direct participants and is required to receive and transmit payments of principal, premium, if any, and interest on the notes. Any direct participant or indirect participant with which you have an account is similarly required to make book-entry transfers and to receive and transmit payments with respect to the notes on your behalf. We, the underwriters and the trustee under the indenture have no responsibility for any aspect of the actions of DTC or any of its direct or indirect participants. We, the underwriters and the trustee under the indenture have no responsibility or liability for any aspect of the records kept by DTC or any of its direct or indirect participants relating to, or payments made on account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beneficial ownership interests in the notes or for maintaining, supervising or reviewing any records relating to such beneficial ownership interests. We also do not supervise these systems in any way.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not recognize you as a holder under the indenture, and you can only exercise the rights of a holder indirectly through DTC and its direct participants. DTC has advised us that it will only take action regarding a note if one or more of the direct participants to whom the note is credited directs DTC to take such action and only in respect of the portion of the aggregate principal amount of the notes as to which that participant or participants has or have given that direction. DTC can only act on behalf of its direct participants. Your ability to pledge notes to non-direct participants, and to take other actions, may be limited because you will not possess a physical certificate that represents your notes.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(nor such other DTC nominee) will consent or vote with respect to the notes unless authorized by a direct participant in accordance with DTC’s procedures. Under its usual procedures, DTC will mail an omnibus proxy to us as soon as possible after the record date. The omnibus proxy assigns Cede &amp; Co.’s consenting or voting rights to those direct participants to whose accounts the notes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DTC has agreed to the foregoing procedures in order to facilitate transfers of the notes among its participants. However, DTC is under no obligation to perform or continue to perform those procedures, and may discontinue those procedures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contains certain limitations on the right of the trustee, should it become our creditor, to obtain payment of claims in certain cases, or to realize for its own account on certain property received in respect of any such claim as security or otherwise. The trustee is permitted to engage in certain other transactions. However, if it acquires any conflicting interest within the meaning of the Trust Indenture Act after a default has occurred and is continuing, it must eliminate the conflict within 90 days, apply to the SEC for permission to continue as trustee or resign.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not cured or waived, the trustee is required to exercise such of the rights and powers vested in it by the indenture and use the same degree of care and skill in their exercise as a prudent person would exercise or use under the circumstances in the conduct of such person’s own affairs. Subject to such provisions, the trustee will not be under any obligation to exercise any of its rights or powers under the indenture at the request of any of the holders of notes unless they have offered to the trustee security or indemnity satisfactory to it against the costs, expenses and liabilities it may incur.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is the trustee under the indenture and has been appointed by Energy Transfer as registrar and paying agent with regard to the notes. The trustee’s address is 1255 Corporate Drive, 6th Floor, Irving, TX 75038. The trustee and its affiliates maintain commercial banking and other relationships with Energy Transfer. </w:t>
      </w:r>
    </w:p>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Limited Partners and Members </w:t>
      </w:r>
    </w:p>
    <w:p>
      <w:pPr>
        <w:pStyle w:val="TextBody"/>
        <w:bidi w:val="0"/>
        <w:spacing w:before="120" w:after="0"/>
        <w:jc w:val="left"/>
        <w:rPr>
          <w:rFonts w:ascii="Times New Roman" w:hAnsi="Times New Roman"/>
          <w:sz w:val="20"/>
        </w:rPr>
      </w:pPr>
      <w:r>
        <w:rPr>
          <w:rFonts w:ascii="Times New Roman" w:hAnsi="Times New Roman"/>
          <w:sz w:val="20"/>
        </w:rPr>
        <w:t xml:space="preserve">The directors, officers, employees, limited partners and members of Energy Transfer and the General Partner will not have any personal liability for our obligations under the indenture or the notes. Each holder of notes, by accepting a note, waives and releases all such liability. The waiver and release are part of the consideration for the issuance of the notes. </w:t>
      </w:r>
    </w:p>
    <w:p>
      <w:pPr>
        <w:pStyle w:val="TextBody"/>
        <w:bidi w:val="0"/>
        <w:spacing w:before="240" w:after="0"/>
        <w:jc w:val="left"/>
        <w:rPr/>
      </w:pPr>
      <w:r>
        <w:rPr/>
        <w:t>“</w:t>
      </w:r>
      <w:r>
        <w:rPr>
          <w:rFonts w:ascii="Times New Roman" w:hAnsi="Times New Roman"/>
          <w:sz w:val="20"/>
        </w:rPr>
        <w:t xml:space="preserve">General Partner” means LE GP, LLC, a Texas limited liability company, and its successors as general partner of Energy Transfer.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notes are governed by, and will be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rom77574_8"/>
      <w:bookmarkEnd w:id="10"/>
      <w:r>
        <w:rPr>
          <w:rFonts w:ascii="Times New Roman" w:hAnsi="Times New Roman"/>
          <w:b/>
          <w:sz w:val="20"/>
        </w:rPr>
        <w:t xml:space="preserve">CERTAIN U.S. FEDERAL INCOME TAX CONSIDERATIONS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summarizes certain U.S. federal income tax considerations that may be relevant to the acquisition, ownership and disposition of the notes, but does not purport to be a complete analysis of all potential tax effects. This discussion is based upon the provisions of the Internal Revenue Code of 1986, as amended (the “Code”), applicable Treasury Regulations promulgated and proposed thereunder, Internal Revenue Service (“IRS”) rulings and pronouncements, and judicial decisions, all as of the date hereof and all of which are subject to change at any time. Any such change may be applied retroactively in a manner that could adversely affect a holder of the notes. We cannot assure you that the IRS will not challenge one or more of the tax consequences described herein, and we have not obtained, nor do we intend to obtain, a ruling from the IRS with respect to the U.S. federal tax consequences of acquiring, holding or disposing of the notes. </w:t>
      </w:r>
    </w:p>
    <w:p>
      <w:pPr>
        <w:pStyle w:val="TextBody"/>
        <w:bidi w:val="0"/>
        <w:spacing w:before="240" w:after="0"/>
        <w:jc w:val="left"/>
        <w:rPr>
          <w:rFonts w:ascii="Times New Roman" w:hAnsi="Times New Roman"/>
          <w:sz w:val="20"/>
        </w:rPr>
      </w:pPr>
      <w:r>
        <w:rPr>
          <w:rFonts w:ascii="Times New Roman" w:hAnsi="Times New Roman"/>
          <w:sz w:val="20"/>
        </w:rPr>
        <w:t>This discussion is limited to persons purchasing the notes in this offering for cash at their initial “issue price” within the meaning of Section 1273 of the Code (</w:t>
      </w:r>
      <w:r>
        <w:rPr>
          <w:rFonts w:ascii="Times New Roman" w:hAnsi="Times New Roman"/>
          <w:i/>
          <w:sz w:val="20"/>
        </w:rPr>
        <w:t>i.e.</w:t>
      </w:r>
      <w:r>
        <w:rPr>
          <w:rFonts w:ascii="Times New Roman" w:hAnsi="Times New Roman"/>
          <w:sz w:val="20"/>
        </w:rPr>
        <w:t xml:space="preserve">, the first price at which a substantial amount of the notes is sold to purchasers other than bond houses, brokers, or similar persons or organizations acting in the capacity of underwriters, placement agents, or wholesalers) and holding the notes as “capital assets” within the meaning of Section 1221 of the Code (generally, property held for investment). Moreover, the effects of other U.S. federal tax laws (such as estate and gift tax laws or the Medicare tax on investment income) and any applicable state, local or foreign tax laws are not discussed. In addition, this discussion does not address all of the U.S. federal income tax considerations that may be relevant to a particular holder in light of the holder’s particular circumstances or to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commodities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(as defined herein)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the notes as part of a hedge, straddle, conversion or other risk reduction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and 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“foreign 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the notes being taken into account in an applicable financial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S corporations or other pass-through entities;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the notes under the constructive sale provisions of the Code.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treated as a partnership for U.S. federal income tax purposes holds the notes, the tax treatment of the partners in the partnership generally will depend on the status of the particular partner in question and the activities of the partnership. Such partners should consult their tax advisors as to the specific tax consequences to them of acquiring, holding and disposing of the notes. </w:t>
      </w:r>
    </w:p>
    <w:p>
      <w:pPr>
        <w:pStyle w:val="TextBody"/>
        <w:bidi w:val="0"/>
        <w:spacing w:before="240" w:after="0"/>
        <w:jc w:val="left"/>
        <w:rPr>
          <w:rFonts w:ascii="Times New Roman" w:hAnsi="Times New Roman"/>
          <w:b/>
          <w:sz w:val="20"/>
        </w:rPr>
      </w:pPr>
      <w:r>
        <w:rPr>
          <w:rFonts w:ascii="Times New Roman" w:hAnsi="Times New Roman"/>
          <w:b/>
          <w:sz w:val="20"/>
        </w:rPr>
        <w:t xml:space="preserve">Investors considering the purchase of notes should consult their tax advisors regarding the application of the U.S. federal income tax laws to their particular situations, as well as any tax consequences of the purchase, ownership or disposition of the notes under U.S. federal estate or gift tax laws, and the applicability and effect of state, local or foreign tax laws and tax treaties.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Classification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determination of whether a security should be classified as indebtedness or equity for U.S. federal income tax purposes requires a judgment based on all relevant facts and circumstances. There is no statutory, judicial or administrative authority that directly addresses the U.S. federal income tax treatment of securities similar to the notes. In the opinion of Latham &amp; Watkins LLP, under current law and based on the facts contained in this prospectus supplement, the terms of the indenture and the notes, and certain assumptions stated in the opinion and representations relied upon in rendering the opinion, the notes should be classified for U.S. federal income tax purposes as indebtedness of Energy Transfer (although there is no controlling authority directly on point). The opinion of Latham &amp; Watkins LLP is not binding on the IRS or the courts. Moreover, no rulings have been or will be sought from the IRS with respect to the transactions described in this prospectus supplement. Accordingly, we cannot assure you that the IRS will not challenge the opinion described herein or that a court would not sustain such a challenge. If the IRS were to successfully challenge the classification of the notes as indebtedness, interest payments on the notes likely would be treated for U.S. federal income tax purposes as guaranteed payments or cash distributions with respect to a preferred partnership interest of Energy Transfer. Cash distributions by Energy Transfer to a holder generally will not be taxable to the holder for U.S. federal income tax purposes, except to the extent the amount of any such cash distribution exceeds such holder’s tax basis in its partnership interest immediately before the distribution. Cash distributions in excess of a holder’s tax basis generally will be considered to be gain from the sale or exchange of the partnership interest. In addition, such a determination would constitute a Tax Event that would entitle us to redeem the notes as described under “Description of the Notes—Redemption—Redemption Following a Tax Event.” We agree, and by acquiring an interest in a note, each beneficial owner of a note will agree, to treat the notes as indebtedness of Energy Transfer for U.S. federal income tax purposes, and the remainder of this discussion assumes this treatment. You should consult your tax advisors regarding the tax consequences that will arise if the notes are not treated as indebtedness of Energy Transfer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to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certain U.S. federal income tax considerations that will apply to you if you are a “U.S. holder” of the notes. The term “U.S. holder” means a beneficial owner of a note who or which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that is taxable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the primary supervision of a U.S. court and the control of one or more United States persons (within the meaning of Section 7701(a)(30) of the Code), or (2) has a valid election in effect under applicable Treasury Regulations to be treated as a United States person.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Payments of Interest </w:t>
      </w:r>
    </w:p>
    <w:p>
      <w:pPr>
        <w:pStyle w:val="TextBody"/>
        <w:bidi w:val="0"/>
        <w:spacing w:before="120" w:after="0"/>
        <w:jc w:val="left"/>
        <w:rPr>
          <w:rFonts w:ascii="Times New Roman" w:hAnsi="Times New Roman"/>
          <w:sz w:val="20"/>
        </w:rPr>
      </w:pPr>
      <w:r>
        <w:rPr>
          <w:rFonts w:ascii="Times New Roman" w:hAnsi="Times New Roman"/>
          <w:sz w:val="20"/>
        </w:rPr>
        <w:t xml:space="preserve">We have the option under certain circumstances to defer payments of stated interest on the notes. Under the Treasury Regulations relating to original issue discount (“OID”), a debt instrument is deemed to be issued with OID if there is more than a “remote” contingency that periodic stated interest payments due on the instrument will not be timely paid. We believe the likelihood of our exercising the option to defer payment of stated interest on the notes is remote within the meaning of the Treasury Regulations in part because our exercise of the option to defer payments of stated interest on the notes would generally prevent us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Declaring or paying any dividend or distribution on Capital Stock of Energy Transfer;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Redeeming, purchasing, acquiring or making a liquidation payment with respect to any Capital Stock of Energy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Paying any principal, interest or premium on, or repaying, repurchasing or redeeming any indebtedness of Energy Transfer that ranks equally with or junior to the notes in right of payment;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any payments with respect to any guarantees by Energy Transfer of any indebtedness if such guarantees rank equally with or junior to the notes in right of payment.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Similarly, if certain circumstances occur (see “Description of the Notes—Redemption—Redemption Following a Rating Agency Event”), we will be obligated to pay amounts in excess of stated principal of the notes. Such excess payments will not affect the amount of interest income that a U.S. holder recognizes if there is only a remote likelihood that such payments will be made. We believe the likelihood that we will make any such payments is remote. </w:t>
      </w:r>
    </w:p>
    <w:p>
      <w:pPr>
        <w:pStyle w:val="TextBody"/>
        <w:bidi w:val="0"/>
        <w:spacing w:before="240" w:after="0"/>
        <w:jc w:val="left"/>
        <w:rPr>
          <w:rFonts w:ascii="Times New Roman" w:hAnsi="Times New Roman"/>
          <w:sz w:val="20"/>
        </w:rPr>
      </w:pPr>
      <w:r>
        <w:rPr>
          <w:rFonts w:ascii="Times New Roman" w:hAnsi="Times New Roman"/>
          <w:sz w:val="20"/>
        </w:rPr>
        <w:t xml:space="preserve">Based on these positions, you generally will be required to recognize any stated interest as ordinary income at the time it is received or accrued on the notes in accordance with your regular method of accounting for United States federal income tax purposes. Our determination that these contingencies are remote is binding on you unless you disclose your contrary position in the manner required by applicable Treasury Regulations. Our determination is not, however, binding on the IRS. There can be no assurance that the IRS or a court will agree with these positions. The meaning of the term “remote” in the Treasury Regulations has not yet been addressed in any rulings or other guidance by the IRS or any court. If the possibility of interest deferral were determined not to be remote, the notes would be treated as issued with OID and all stated interest would be treated as OID as long as the notes are outstanding. In that case, you would be required to accrue interest income on the notes using a constant yield method whether or not you receive any cash payment attributable to that interest, regardless of your regular method of accounting for United States federal income tax purposes. If the possibility of excess payments following a Rating Agency Event were determined not to be remote, the notes could be treated as “contingent payment debt instruments,” in which case you could be required to accrue interest income on the notes in excess of stated interest and would be required to treat as ordinary income rather than as capital gain any income realized on a taxable disposition of the notes. The notes will be treated as “variable rate debt instruments” for U.S. federal income tax purposes. Based on the application of the Treasury Regulations applicable to variable rate debt instruments and the expected pricing terms of the notes, we also do not expect the pricing of the notes to result in the notes as being treated as issued with OID for U.S. federal income tax purposes. The remainder of this discussion assumes the notes will not be treated as issued with OID or as contingent payment debt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of Deferral Option </w:t>
      </w:r>
    </w:p>
    <w:p>
      <w:pPr>
        <w:pStyle w:val="TextBody"/>
        <w:bidi w:val="0"/>
        <w:spacing w:before="120" w:after="0"/>
        <w:jc w:val="left"/>
        <w:rPr>
          <w:rFonts w:ascii="Times New Roman" w:hAnsi="Times New Roman"/>
          <w:sz w:val="20"/>
        </w:rPr>
      </w:pPr>
      <w:r>
        <w:rPr>
          <w:rFonts w:ascii="Times New Roman" w:hAnsi="Times New Roman"/>
          <w:sz w:val="20"/>
        </w:rPr>
        <w:t xml:space="preserve">If we exercise our option to defer the payment of interest on the notes (see “Description of the Notes—Option to Defer Interest Payments”), pursuant to certain applicable Treasury Regulations, we expect to treat the notes as if they had been redeemed and reissued solely for OID purposes. Accordingly, all remaining interest payments on the notes (including interest on deferred interest) could be treated as OID, which you would be required to accrue and include in taxable income on a constant accrual basis over the remaining term of the notes, without regard to the time interest is actually paid on the notes and without regard to your regular method of accounting for U.S. federal income tax purposes. The amount of OID income includible in your taxable income would be determined on the basis of a constant yield method over the remaining term of the notes, and the actual receipt of future payments of stated interest on the notes would no longer be separately reported as taxable income. The total amount of OID that would accrue during the deferral period would be approximately equal to the amount of the cash payment due immediately following the end of that period. Any OID included in income would increase your adjusted tax basis in your notes, and your actual receipt of cash interest payments would reduce that adjusted tax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Sale, Exchange or Disposition of Notes </w:t>
      </w:r>
    </w:p>
    <w:p>
      <w:pPr>
        <w:pStyle w:val="TextBody"/>
        <w:bidi w:val="0"/>
        <w:spacing w:before="120" w:after="0"/>
        <w:jc w:val="left"/>
        <w:rPr>
          <w:rFonts w:ascii="Times New Roman" w:hAnsi="Times New Roman"/>
          <w:sz w:val="20"/>
        </w:rPr>
      </w:pPr>
      <w:r>
        <w:rPr>
          <w:rFonts w:ascii="Times New Roman" w:hAnsi="Times New Roman"/>
          <w:sz w:val="20"/>
        </w:rPr>
        <w:t xml:space="preserve">You will recognize taxable gain or loss on the sale, exchange, redemption, retirement or other taxable disposition of a note equal to the difference, if any, between: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realized upon the disposition of the note (less any amount attributable to accrued but unpaid interest, which will be taxable as interest to the extent not already included in income);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adjusted tax basis in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 adjusted tax basis in a note generally will equal the amount you paid for the note plus any amount that you were required to include in gross income as OID, minus any cash payments you received in respect of accrued OID. Any gain or loss will be capital gain or loss and will be long-term capital gain or loss if at the time of the sale or other taxable disposition you have held the note for more than one year. Otherwise, such gain or loss will be short-term capital gain or loss. Long-term capital gains recognized by certain non-corporate U.S. holders, including individuals, generally will be subject to a reduced rate of tax. The deductibility of capital losses is subject to limitations.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You may be subject to information reporting on payments of interest (including accrued OID) and principal on the notes and on the proceeds received upon the sale or other disposition (including a retirement or redemption) of the notes, and backup withholding also may apply to payments of such amounts. Certain U.S. holders are generally not subject to information reporting or backup withholding. You will be subject to backup withholding if you are not otherwise exempt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fail to furnish a taxpayer identification number (“TIN”), which, for an individual, is ordinarily his or her social security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furnish an incorrect TIN;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withholding agent is notified by the IRS that you have failed to properly report payments of interest or dividends;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fail to certify under penalties of perjury that you have furnished a correct TIN and that the IRS has not notified you that you are subject to backup withholding.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U.S. holders should consult their tax advisors regarding their qualification for an exemption from backup withholding and the procedures for obtaining such an exemption, if applicable. Backup withholding is not an additional tax, and you may use amounts withheld as a credit against your U.S. federal income tax liability, if any, or you may claim a refund if you timely provide certain information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to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certain U.S. federal income tax considerations that will apply to you if you are a “non-U.S. holder” of the notes. A “non-U.S. holder” is a beneficial owner of a note that is an individual, corporation, estate or trust that is not a U.S. holder. </w:t>
      </w:r>
    </w:p>
    <w:p>
      <w:pPr>
        <w:pStyle w:val="TextBody"/>
        <w:bidi w:val="0"/>
        <w:spacing w:before="360" w:after="0"/>
        <w:jc w:val="left"/>
        <w:rPr>
          <w:rFonts w:ascii="Times New Roman" w:hAnsi="Times New Roman"/>
          <w:b/>
          <w:sz w:val="20"/>
        </w:rPr>
      </w:pPr>
      <w:r>
        <w:rPr>
          <w:rFonts w:ascii="Times New Roman" w:hAnsi="Times New Roman"/>
          <w:b/>
          <w:sz w:val="20"/>
        </w:rPr>
        <w:t xml:space="preserve">Payments of Interest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of backup withholding and FATCA withholding below, interest paid on a note (including any OID) to you that is not effectively connected with your conduct of a U.S. trade or business generally will not be subject to U.S. federal income tax or to a U.S. federal withholding tax of 30% (or a lower withholding tax rate if so specified by an applicable income tax treaty)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directly, indirectly or constructively, own 10% or more of our capital or profits interests;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“controlled foreign corporation” that is related to us through actual or constructive capital or profits interest ownership and you are not a bank that received such note on an extension of credit made pursuant to a loan agreement entered into in the ordinary course of your trade or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(1) you certify in a statement provided to the applicable withholding agent, under penalties of perjury, that you are not a “United States person” within the meaning of the Code and provide your name and address, (2) a securities clearing organization, bank or other financial institution that holds customers’ securities in the ordinary course of its trade or business and holds the note on your behalf certifies to the applicable withholding agent under penalties of perjury that it, or the financial institution between it and you, has received from you a statement, under penalties of perjury, that you are not a United States person and you provide the applicable withholding agent with a copy of such statement, or (3) you hold your note directly through a “qualified intermediary” and certain conditions are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Even if the above conditions are not met, you may be entitled to a reduction in or an exemption from withholding tax on interest if you provide the applicable withholding agent with a properly executed (1) IRS Form W-8BEN or W-8BEN-E (or other applicable documentation) claiming an exemption from or reduction of the withholding tax under the benefit of a tax treaty between the United States and your country of residence, or (2) IRS Form W-8ECI stating that interest paid on a note is not subject to withholding tax because it is effectively connected with your conduct of a trade 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If interest paid to you is effectively connected with your conduct of a U.S. trade or business (and, if required by an applicable income tax treaty, you also maintain a U.S. permanent establishment to which such interest is attributable), then, although exempt from U.S. federal withholding tax (provided you provide the appropriate certification), you generally will be subject to U.S. federal income tax on such interest in the same manner as if you were a U.S. holder. In addition, if you are a foreign corporation, such interest may be subject to a branch profits tax at a rate of 30% or lower applicable treaty rate. </w:t>
      </w:r>
    </w:p>
    <w:p>
      <w:pPr>
        <w:pStyle w:val="TextBody"/>
        <w:bidi w:val="0"/>
        <w:spacing w:before="360" w:after="0"/>
        <w:jc w:val="left"/>
        <w:rPr>
          <w:rFonts w:ascii="Times New Roman" w:hAnsi="Times New Roman"/>
          <w:b/>
          <w:sz w:val="20"/>
        </w:rPr>
      </w:pPr>
      <w:r>
        <w:rPr>
          <w:rFonts w:ascii="Times New Roman" w:hAnsi="Times New Roman"/>
          <w:b/>
          <w:sz w:val="20"/>
        </w:rPr>
        <w:t xml:space="preserve">Sale, Exchange, or Disposition of the Notes </w:t>
      </w:r>
    </w:p>
    <w:p>
      <w:pPr>
        <w:pStyle w:val="TextBody"/>
        <w:bidi w:val="0"/>
        <w:spacing w:before="120" w:after="0"/>
        <w:jc w:val="left"/>
        <w:rPr>
          <w:rFonts w:ascii="Times New Roman" w:hAnsi="Times New Roman"/>
          <w:sz w:val="20"/>
        </w:rPr>
      </w:pPr>
      <w:r>
        <w:rPr>
          <w:rFonts w:ascii="Times New Roman" w:hAnsi="Times New Roman"/>
          <w:sz w:val="20"/>
        </w:rPr>
        <w:t>Subject to the discussion of backup withholding below, any gain realized by you on the sale, exchange, retirement, redemption or other disposition of a note generally will not be subject to U.S. federal income tax (other than any amount allocable to accrued and unpaid interest, which generally will be taxable as interest and may be subject to the rules discussed above in “</w:t>
      </w:r>
      <w:r>
        <w:rPr>
          <w:rFonts w:ascii="Times New Roman" w:hAnsi="Times New Roman"/>
          <w:i/>
          <w:sz w:val="20"/>
        </w:rPr>
        <w:t>Consequences to Non-U.S.</w:t>
      </w:r>
      <w:r>
        <w:rPr>
          <w:rFonts w:ascii="Times New Roman" w:hAnsi="Times New Roman"/>
          <w:sz w:val="20"/>
        </w:rPr>
        <w:t> </w:t>
      </w:r>
      <w:r>
        <w:rPr>
          <w:rFonts w:ascii="Times New Roman" w:hAnsi="Times New Roman"/>
          <w:i/>
          <w:sz w:val="20"/>
        </w:rPr>
        <w:t>Holders—Payments of Interest</w:t>
      </w:r>
      <w:r>
        <w:rPr>
          <w:rFonts w:ascii="Times New Roman" w:hAnsi="Times New Roman"/>
          <w:sz w:val="20"/>
        </w:rPr>
        <w:t xml:space="preserv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your conduct of a trade or business in the United States (and, if required by an applicable income tax treaty, is also attributable to your permanent establishment in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an individual who is present in the United States for 183 days or more in the taxable year of disposition and certain other requirements are met.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recognize gain described in the first bullet point above, you will be required to pay U.S. federal income tax on the net gain derived from the sale generally in the same manner as if you were a U.S. holder, and if you are a foreign corporation, you may also be required to pay an additional branch profits tax at a 30% rate (or a lower rate if so specified by an applicable income tax treaty). If you are a non-U.S. holder described in the second bullet point above, you will be subject to U.S. federal income tax at a rate of 30% (or a lower rate if so specified by an applicable income tax treaty) on the gain derived from the sale or other disposition of the note, which may be offset by certain U.S. source capital losses, even though you are not considered a resident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You should consult your tax advisor regarding potentially applicable income tax treaties that may provide for different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You generally will not be subject to backup withholding and information reporting with respect to payments of interest on the notes if you have provided the statement described above under “Consequences to Non-U.S. Holders—Payments of Interest” and the applicable withholding agent does not have actual knowledge or reason to know that you are a “United States person,” within the meaning of the Code. In addition, you will not be subject to backup withholding or information reporting with respect to the proceeds of the sale or other disposition of a note (including a retirement or redemption of a note) within the United States or conducted through certain U.S.-related brokers if the payor receives the statement described above and does not have actual knowledge or reason to know that you are a United States person or you otherwise establish an exemption. However, we may be required to report annually to the IRS and to you the amount of, and the tax withheld with respect to, any interest and OID paid to you, regardless of whether any tax was actually withheld. Copies of these information returns may also be made available under the provisions of a specific treaty or agreement to the tax authorities of the country in which you reside.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You generally will be entitled to credit any amounts withheld under the backup withholding rules against your U.S. federal income tax liability, if any, or you may claim a refund provided that the required information is furnished to the IRS in a timely manner.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Withholding Tax on Payments Made to Foreign Accounts </w:t>
      </w:r>
    </w:p>
    <w:p>
      <w:pPr>
        <w:pStyle w:val="TextBody"/>
        <w:bidi w:val="0"/>
        <w:spacing w:before="120" w:after="0"/>
        <w:jc w:val="left"/>
        <w:rPr>
          <w:rFonts w:ascii="Times New Roman" w:hAnsi="Times New Roman"/>
          <w:sz w:val="20"/>
        </w:rPr>
      </w:pPr>
      <w:r>
        <w:rPr>
          <w:rFonts w:ascii="Times New Roman" w:hAnsi="Times New Roman"/>
          <w:sz w:val="20"/>
        </w:rPr>
        <w:t xml:space="preserve">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payments of interest on a note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undertakes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Under the applicable Treasury Regulations and administrative guidance, withholding under FATCA applies currently to payments of interest on a note. While withholding under FATCA would have applied also to payments of gross proceeds from the sale or other disposition of a note, proposed Treasury Regulations would eliminate FATCA withholding on payments of gross proceeds entirely. Taxpayers generally may rely on these proposed Treasury Regulations until final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tax advisors regarding the potential application of withholding under FATCA to payments of interest on the notes. </w:t>
      </w:r>
    </w:p>
    <w:p>
      <w:pPr>
        <w:pStyle w:val="TextBody"/>
        <w:bidi w:val="0"/>
        <w:spacing w:before="240" w:after="0"/>
        <w:jc w:val="left"/>
        <w:rPr>
          <w:rFonts w:ascii="Times New Roman" w:hAnsi="Times New Roman"/>
          <w:b/>
          <w:sz w:val="20"/>
        </w:rPr>
      </w:pPr>
      <w:r>
        <w:rPr>
          <w:rFonts w:ascii="Times New Roman" w:hAnsi="Times New Roman"/>
          <w:b/>
          <w:sz w:val="20"/>
        </w:rPr>
        <w:t xml:space="preserve">The preceding discussion of certain U.S. federal income tax considerations is for general information only and is not tax advice. Each prospective investor should consult their tax advisor regarding the particular U.S. federal, state, local and foreign tax consequences of purchasing, holding, and disposing of the notes, including the consequences of any proposed change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rom77574_9"/>
      <w:bookmarkEnd w:id="11"/>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stated in the underwriting agreement dated the date of this prospectus supplement by and among us and the underwriters named below, for whom Citigroup Global Markets Inc., J.P. Morgan Securities LLC, PNC Capital Markets LLC, TD Securities (USA) LLC and Truist Securities, Inc. are acting as representatives, we have agreed to sell to each of the underwriters, and each of the underwriters has agreed, severally and not jointly, to purchase from us, the principal amount of the notes indicated in the following table: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25"/>
        <w:gridCol w:w="547"/>
        <w:gridCol w:w="140"/>
        <w:gridCol w:w="817"/>
        <w:gridCol w:w="60"/>
        <w:gridCol w:w="547"/>
        <w:gridCol w:w="140"/>
        <w:gridCol w:w="817"/>
        <w:gridCol w:w="62"/>
      </w:tblGrid>
      <w:tr>
        <w:trPr/>
        <w:tc>
          <w:tcPr>
            <w:tcW w:w="4625" w:type="dxa"/>
            <w:tcBorders/>
            <w:vAlign w:val="center"/>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62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Underwriters</w:t>
            </w:r>
          </w:p>
        </w:tc>
        <w:tc>
          <w:tcPr>
            <w:tcW w:w="547" w:type="dxa"/>
            <w:tcBorders/>
            <w:vAlign w:val="bottom"/>
          </w:tcPr>
          <w:p>
            <w:pPr>
              <w:pStyle w:val="TableContents"/>
              <w:bidi w:val="0"/>
              <w:spacing w:before="0" w:after="283"/>
              <w:jc w:val="left"/>
              <w:rPr/>
            </w:pPr>
            <w:r>
              <w:rPr/>
              <w:t>  </w:t>
            </w:r>
          </w:p>
        </w:tc>
        <w:tc>
          <w:tcPr>
            <w:tcW w:w="957"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Principal</w:t>
              <w:br/>
              <w:t>Amount of</w:t>
              <w:br/>
              <w:t>the Series</w:t>
              <w:br/>
              <w:t>2026A notes</w:t>
            </w:r>
          </w:p>
        </w:tc>
        <w:tc>
          <w:tcPr>
            <w:tcW w:w="60"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957"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Principal</w:t>
              <w:br/>
              <w:t>Amount of</w:t>
              <w:br/>
              <w:t>the Series</w:t>
              <w:br/>
              <w:t>2026B notes</w:t>
            </w:r>
          </w:p>
        </w:tc>
        <w:tc>
          <w:tcPr>
            <w:tcW w:w="62" w:type="dxa"/>
            <w:tcBorders/>
            <w:vAlign w:val="bottom"/>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5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5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5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5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5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terms and conditions of the underwriting agreement, if the underwriters take any of the notes, then they are obligated to take and pay for all the notes. The underwriting agreement also provides that if an underwriter defaults, the purchase commitments of non-defaulting underwriters may also be increased or the underwriting agreement may be terminated. 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Each series of notes is a new issue of securities with no established trading market and will not be listed on any national securities exchange. The underwriters have advised us that they intend to make a market for each series of notes, but they have no obligation to do so and may discontinue market-making at any time without providing any notice. No assurance can be given as to the liquidity of any trading market for the notes. Notes of each series sold by the underwriters to the public will initially be offered at the public offering prices set forth on the cover page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compensation to be paid by us to the underwriters: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75"/>
        <w:gridCol w:w="302"/>
        <w:gridCol w:w="88"/>
        <w:gridCol w:w="1123"/>
        <w:gridCol w:w="275"/>
        <w:gridCol w:w="217"/>
        <w:gridCol w:w="188"/>
        <w:gridCol w:w="1114"/>
        <w:gridCol w:w="60"/>
        <w:gridCol w:w="302"/>
        <w:gridCol w:w="87"/>
        <w:gridCol w:w="1110"/>
        <w:gridCol w:w="274"/>
        <w:gridCol w:w="217"/>
        <w:gridCol w:w="186"/>
        <w:gridCol w:w="1103"/>
        <w:gridCol w:w="67"/>
      </w:tblGrid>
      <w:tr>
        <w:trPr/>
        <w:tc>
          <w:tcPr>
            <w:tcW w:w="2675"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67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2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Series</w:t>
              <w:br/>
              <w:t>2026A note</w:t>
            </w:r>
          </w:p>
        </w:tc>
        <w:tc>
          <w:tcPr>
            <w:tcW w:w="27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Series</w:t>
              <w:br/>
              <w:t>2026A notes</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Series</w:t>
              <w:br/>
              <w:t>2026B note</w:t>
            </w:r>
          </w:p>
        </w:tc>
        <w:tc>
          <w:tcPr>
            <w:tcW w:w="27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Series</w:t>
              <w:br/>
              <w:t>2026B notes</w:t>
            </w:r>
          </w:p>
        </w:tc>
        <w:tc>
          <w:tcPr>
            <w:tcW w:w="67" w:type="dxa"/>
            <w:tcBorders/>
            <w:vAlign w:val="bottom"/>
          </w:tcPr>
          <w:p>
            <w:pPr>
              <w:pStyle w:val="TableContents"/>
              <w:bidi w:val="0"/>
              <w:spacing w:before="0" w:after="283"/>
              <w:jc w:val="left"/>
              <w:rPr/>
            </w:pPr>
            <w:r>
              <w:rPr/>
              <w:t> </w:t>
            </w:r>
          </w:p>
        </w:tc>
      </w:tr>
      <w:tr>
        <w:trPr/>
        <w:tc>
          <w:tcPr>
            <w:tcW w:w="26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Underwriting discount paid by us</w:t>
            </w:r>
          </w:p>
        </w:tc>
        <w:tc>
          <w:tcPr>
            <w:tcW w:w="30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of this offering to be paid by us, excluding underwriting discounts, will be approximately $5.0 million.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of 1933, as amended (the “Securities Act”), or to contribute to payments that the underwriters may be required to make in respect of any such liabilities.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may engage in stabilizing transactions, over-allotment transactions, syndicate covering transactions and penalty bids in accordance with Regulation M under the Securities Exchange Act of 1934, as amended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Stabilizing transactions permit bids to purchase the underlying security so long as the stabilizing bids do not exceed a specified maximum.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Over-allotment transactions involve sales by the underwriters of notes in excess of the principal amount of notes the underwriters are obligated to purchase, which creates a syndicate short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Syndicate covering transactions involve purchases of the notes in the open market after the distribution has been completed in order to cover syndicate short 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Penalty bids permit the underwriters to reclaim a selling concession from a syndicate member when the notes originally sold by the syndicate member are purchased in a stabilizing transaction or a syndicate covering transaction to cover syndicate short positions.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stabilizing transactions, over-allotment transactions, syndicate covering transactions and penalty bids may have the effect of raising or maintaining the market price of the notes or preventing or retarding a decline in the market price of the notes. As a result the price of the notes may be higher than the price that might otherwise exist in the open market. These transactions, if commenced, may be discontinued at any time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delivery of the notes will be made against payment therefor on or about the closing date specified on the cover page of this prospectus supplement, which will be the tenth business day following the date of this prospectus supplement. This settlement cycle is referred to as “T+10.” Under Rule 15c6-1 under the Exchange Act, trades in the secondary market generally are required to settle in one business day, unless the parties to any such trade expressly agree otherwise. Accordingly, purchasers who wish to trade notes prior to the date that is one business day preceding the settlement date, will be required, by virtue of the fact that the notes initially will settle T+10, to specify an alternate settlement cycle at the time of any such trade to prevent a failed settlement. Purchasers of notes who wish to trade notes prior to the date that is one business day preceding the settlement date should consult their own advisors.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business, the underwriters and their respective affiliates have from time to time performed and may in the future perform various financial advisory, commercial banking, investment banking, asset leasing and treasury services for us and our affiliates, for which they received, or will continue to receive, customary fees or compensation. In particular, affiliates of each of the underwriters participating in this offering are lenders under our revolving credit facility, and certain of the underwriters or their affiliates may be holders of the Series H Preferred Units. Accordingly, each of the underwriters and their affiliates may receive a portion of the net proceeds of this offering through any repayment of borrowings under such revolving credit facility or redemption of the Series H Preferred Units. Additionally, certain of the underwriters or their affiliates are dealers on our commercial paper program and may receive a portion of the net proceeds from this offering through any repayment of borrowings under such commercial paper program, to the extent they are holding any of our commercial paper.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 instruments of ours or our respective subsidiaries. Certain of the underwriters or their affiliates that have a lending relationship with us routinely hedge, and certain other underwriters or their affiliates that have a lending relationship with us may hedge their credit exposure to us consistent with their customary risk management policies. Typically, these underwriters or their affiliates would hedge such exposure by entering into transactions which consist of either the purchase of credit default swaps or the creation of short positions in our and our parent’s securities, including potentially the notes offered hereby. Any such credit default swaps or short positions could adversely affect future trading prices of the notes.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i/>
          <w:sz w:val="20"/>
        </w:rPr>
      </w:pPr>
      <w:r>
        <w:rPr>
          <w:rFonts w:ascii="Times New Roman" w:hAnsi="Times New Roman"/>
          <w:i/>
          <w:sz w:val="20"/>
        </w:rPr>
        <w:t xml:space="preserve">Notice to Prospective Investors in the Member States of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European Economic Area (“EEA”). For these purposes a retail investor means a person who is one (or more) of: </w:t>
      </w:r>
    </w:p>
    <w:p>
      <w:pPr>
        <w:pStyle w:val="TextBody"/>
        <w:bidi w:val="0"/>
        <w:spacing w:before="240" w:after="0"/>
        <w:jc w:val="left"/>
        <w:rPr>
          <w:rFonts w:ascii="Times New Roman" w:hAnsi="Times New Roman"/>
          <w:sz w:val="20"/>
        </w:rPr>
      </w:pPr>
      <w:r>
        <w:rPr>
          <w:rFonts w:ascii="Times New Roman" w:hAnsi="Times New Roman"/>
          <w:sz w:val="20"/>
        </w:rPr>
        <w:t xml:space="preserve">(1) a retail client as defined in point (11) of Article 4(1) of Directive 2014/65/EU (as amended, “MiFID II”); </w:t>
      </w:r>
    </w:p>
    <w:p>
      <w:pPr>
        <w:pStyle w:val="TextBody"/>
        <w:bidi w:val="0"/>
        <w:spacing w:before="240" w:after="0"/>
        <w:jc w:val="left"/>
        <w:rPr>
          <w:rFonts w:ascii="Times New Roman" w:hAnsi="Times New Roman"/>
          <w:sz w:val="20"/>
        </w:rPr>
      </w:pPr>
      <w:r>
        <w:rPr>
          <w:rFonts w:ascii="Times New Roman" w:hAnsi="Times New Roman"/>
          <w:sz w:val="20"/>
        </w:rPr>
        <w:t xml:space="preserve">(2) a customer within the meaning of Directive (EU) 2016/97, where that customer would not qualify as a professional client as defined in point (10) of Article 4(1) of MiFID II; or </w:t>
      </w:r>
    </w:p>
    <w:p>
      <w:pPr>
        <w:pStyle w:val="TextBody"/>
        <w:bidi w:val="0"/>
        <w:spacing w:before="240" w:after="0"/>
        <w:jc w:val="left"/>
        <w:rPr>
          <w:rFonts w:ascii="Times New Roman" w:hAnsi="Times New Roman"/>
          <w:sz w:val="20"/>
        </w:rPr>
      </w:pPr>
      <w:r>
        <w:rPr>
          <w:rFonts w:ascii="Times New Roman" w:hAnsi="Times New Roman"/>
          <w:sz w:val="20"/>
        </w:rPr>
        <w:t xml:space="preserve">(3) not a qualified investor as defined in Regulation (EU) 2017/1129 (as amended or superseded,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base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base prospectus are not a prospectus for the purposes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EEA selling restriction is in addition to any other selling restrictions set out in this prospectus supplement.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distributed or otherwise made available to and should not be offered, sold, distributed or otherwise made available to any retail investor in the United Kingdom (the “UK”). For these purposes, a retail investor means a person who is one (or both) of: (i) not a professional client, as defined in point (8) of Article 2(1) of Regulation (EU) No. 600/2014 as it forms part of domestic law by virtue of European Union (Withdrawal) Act 2018 (“EUWA”); or (ii) not a qualified investor as defined in paragraph 15 of Schedule 1 to the Public Offers and Admissions to Trading Regulations 2024 (the “POATRs”).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been prepared on the basis that any offer of notes in the UK will be made pursuant to an exception from the prohibition on offers of notes to the public under the POATRs. </w:t>
      </w:r>
    </w:p>
    <w:p>
      <w:pPr>
        <w:pStyle w:val="TextBody"/>
        <w:bidi w:val="0"/>
        <w:spacing w:before="240" w:after="0"/>
        <w:jc w:val="left"/>
        <w:rPr>
          <w:rFonts w:ascii="Times New Roman" w:hAnsi="Times New Roman"/>
          <w:sz w:val="20"/>
        </w:rPr>
      </w:pPr>
      <w:r>
        <w:rPr>
          <w:rFonts w:ascii="Times New Roman" w:hAnsi="Times New Roman"/>
          <w:sz w:val="20"/>
        </w:rPr>
        <w:t xml:space="preserve">In the UK, this prospectus supplement is being distributed only to, and is directed only at (i) persons having professional experience in matters relating to investments falling within Article 19(5) of the Financial Services and Markets Act 2000 (Financial Promotion) Order 2005 (as amended, the “Order”), (ii) persons falling within Article 49(2)(a) to (d) (“high net worth companies, unincorporated associations etc.”) of the Order, (iii) persons outside the UK, or (iv)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In the UK, any investment or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activity to which this prospectus supplement relates is available only to, and will be engaged in only with, Relevant Persons. Any person in the UK that is not a Relevant Person should not act or rely on this prospectus supplement or its contents.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under the Financial Instruments and Exchange Law of Japan (the “Financial Instruments and Exchange Law”). The notes have not been offered or sold and will not be offered or sold, directly or indirectly, in Japan or to or for the account of any resident of Japan (which term as used herein means any person resident in Japan, including any corporation or other entity organized under the laws of Japan), or to others for re-offering or resale, directly or indirectly, in Japan or to, or for the account or benefit of, any resident of Japan, except (i) pursuant to an exemption from the registration requirements of the Financial Instruments and Exchange Law and (ii) otherwise in compliance with any other applicable requirements of Japanese law.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acknowledged that this prospectus supplement has not been registered as a prospectus with the Monetary Authority of Singapore. Accordingly, each underwriter has represented, warranted and agreed that it has not offered or sold any securities or caused the securities to be made the subject of an invitation for subscription or purchase and will not offer or sell any securities or cause the securities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securities,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 </w:t>
      </w:r>
    </w:p>
    <w:p>
      <w:pPr>
        <w:pStyle w:val="TextBody"/>
        <w:bidi w:val="0"/>
        <w:spacing w:before="240" w:after="0"/>
        <w:jc w:val="left"/>
        <w:rPr>
          <w:rFonts w:ascii="Times New Roman" w:hAnsi="Times New Roman"/>
          <w:sz w:val="20"/>
        </w:rPr>
      </w:pPr>
      <w:r>
        <w:rPr>
          <w:rFonts w:ascii="Times New Roman" w:hAnsi="Times New Roman"/>
          <w:sz w:val="20"/>
        </w:rPr>
        <w:t xml:space="preserve">Singapore Securities and Futures Act Product Classification—Solely for the purposes of the issuer’s obligations pursuant to Sections 309B(1)(a) and 309B(1)(c) of the SFA, the issuer has determined, and hereby notifies all relevant persons (as defined in Section 309A of the SFA) that the securities are a “prescribed capital markets product” (as defined in the Securities and Futures (Capital Markets Products) Regulations 2018) and an Excluded Investment Product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base prospectus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and the accompanying base prospectus nor any other offering or marketing material relating to the notes constitutes a prospectus pursuant to the FinSA, and neither this prospectus supplement and the accompanying base prospectus nor any other offering or marketing material relating to the notes may be publicly distributed or otherwise made publicly available in Switzerland.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offered or sold and will not be offered or sold in Hong Kong, by means of any document other than (i) in circumstances which do not constitute an offer to the public within the meaning of the Companies (Winding Up and Miscellaneous Provisions) Ordinance (Cap. 32, Laws of Hong Kong), or (ii)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professional investors” within the meaning of the Securities and Futures Ordinance (Cap. 571, Laws of Hong Kong) and any rules made thereunder, or (iii) in other circumstances which do not result in the document being a “prospectus” within the meaning of the Companies (Winding Up and Miscellaneous Provisions)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within the meaning of the Securities and Futures Ordinance (Cap. 571, Laws of Hong Kong) and any rules made thereunder.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Taiwan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and will not be registered or filed with, or approved by, the Financial Supervisory Commission of Taiwan pursuant to relevant securities laws and regulations and may not be sold, issued, or offered within Taiwan through a public offering or in circumstances which constitute an offer within the meaning of the Securities and Exchange Act of Taiwan that requires a registration or filing with or approval of the Financial Supervisory Commission of Taiwan. No person or entity in Taiwan has been authorized or will be authorized to offer, sell, give advice regarding or otherwise intermediate the offering and sale of the notes in Taiwan.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South Korea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offered, sold and delivered directly or indirectly, or offered or sold to any person for re-offering or resale, directly or indirectly, in South Korea or to any resident of South Korea except pursuant to the applicable laws and regulations of South Korea, including the Financial Investment Services and Capital Markets Act and the Foreign Exchange Transaction Law and the decrees and regulations thereunder. The notes have not been registered with the Financial Services Commission of South Korea for public offering in South Korea. Furthermore, the notes may not be re-sold to South Korean residents unless the purchaser of the notes complies with all applicable regulatory requirements (including but not limited to government approval requirements under the Foreign Exchange Transaction Law and its subordinate decrees and regulations) in connection with their purchase.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does not constitute a public offer of securities in the United Arab Emirates (including the Abu Dhabi Global Market and the Dubai International Financial Centre) and is not intended to be a public offer. This prospectus has not been approved by or filed with the Central Bank of the United Arab Emirates, the Securities and Commodities Authority, the Financial Services Regulatory Authority or the Dubai Financial Services Authority.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set forth herein, and has no responsibility for the prospectus supplement. The notes which are the subject of the offering contemplated by this prospectus supplement may be illiquid and/or subject to restrictions on their resale. Prospective purchasers of the notes offered should conduct their own due diligence on the notes. </w:t>
      </w:r>
    </w:p>
    <w:p>
      <w:pPr>
        <w:pStyle w:val="TextBody"/>
        <w:bidi w:val="0"/>
        <w:spacing w:before="240" w:after="0"/>
        <w:jc w:val="left"/>
        <w:rPr>
          <w:rFonts w:ascii="Times New Roman" w:hAnsi="Times New Roman"/>
          <w:sz w:val="20"/>
        </w:rPr>
      </w:pPr>
      <w:r>
        <w:rPr>
          <w:rFonts w:ascii="Times New Roman" w:hAnsi="Times New Roman"/>
          <w:sz w:val="20"/>
        </w:rPr>
        <w:t xml:space="preserve">If you do not understand the contents of this prospectus supplement you should consult an authorized financial advisor.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Chile </w:t>
      </w:r>
    </w:p>
    <w:p>
      <w:pPr>
        <w:pStyle w:val="TextBody"/>
        <w:bidi w:val="0"/>
        <w:spacing w:before="120" w:after="0"/>
        <w:jc w:val="left"/>
        <w:rPr>
          <w:rFonts w:ascii="Times New Roman" w:hAnsi="Times New Roman"/>
          <w:sz w:val="20"/>
        </w:rPr>
      </w:pPr>
      <w:r>
        <w:rPr>
          <w:rFonts w:ascii="Times New Roman" w:hAnsi="Times New Roman"/>
          <w:sz w:val="20"/>
        </w:rPr>
        <w:t>The notes are not registered in the Securities Registry (</w:t>
      </w:r>
      <w:r>
        <w:rPr>
          <w:rFonts w:ascii="Times New Roman" w:hAnsi="Times New Roman"/>
          <w:i/>
          <w:sz w:val="20"/>
        </w:rPr>
        <w:t>Registro de Valores</w:t>
      </w:r>
      <w:r>
        <w:rPr>
          <w:rFonts w:ascii="Times New Roman" w:hAnsi="Times New Roman"/>
          <w:sz w:val="20"/>
        </w:rPr>
        <w:t>) or subject to the control of the Chilean Securities and Exchange Commission (</w:t>
      </w:r>
      <w:r>
        <w:rPr>
          <w:rFonts w:ascii="Times New Roman" w:hAnsi="Times New Roman"/>
          <w:i/>
          <w:sz w:val="20"/>
        </w:rPr>
        <w:t>Superintendencia de Valores y Seguros de Chile</w:t>
      </w:r>
      <w:r>
        <w:rPr>
          <w:rFonts w:ascii="Times New Roman" w:hAnsi="Times New Roman"/>
          <w:sz w:val="20"/>
        </w:rPr>
        <w:t>). This prospectus supplement and other offering materials relating to the offer of the notes do not constitute a public offer of, or an invitation to subscribe for or purchase, the notes in the Republic of Chile, other than to individually identified purchasers pursuant to a private offering within the meaning of Article 4 of the Chilean Securities Market Act (</w:t>
      </w:r>
      <w:r>
        <w:rPr>
          <w:rFonts w:ascii="Times New Roman" w:hAnsi="Times New Roman"/>
          <w:i/>
          <w:sz w:val="20"/>
        </w:rPr>
        <w:t>Ley de Mercado de Valores</w:t>
      </w:r>
      <w:r>
        <w:rPr>
          <w:rFonts w:ascii="Times New Roman" w:hAnsi="Times New Roman"/>
          <w:sz w:val="20"/>
        </w:rPr>
        <w:t xml:space="preserve">) (an offer that is not “addressed to the public at large or to a certain sector or specific group of the public”).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Abu Dhabi Global Market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for distribution only to persons who (a) are outside the Abu Dhabi Global Market, (b) are Authorised Persons or Recognised Bodies (as such terms are defined in the Financial Services and Markets Regulations 2015 (“FSMR”)), or (c) are persons to whom an invitation or inducement to engage in investment activity (within the meaning of section 18 of FSMR)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This document relates to an “Exempt Offer” within the meaning of section 61(3)(a) of the FSMR and Rule 4.3.1 of the Market Rules of the Financial Services Regulatory Authority or otherwise in circumstances which do not require the publication of an “Approved Prospectus” (as defined in section 61(2) of the FSMR).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offering memorandum,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(Cth) of Australia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notes may only be made to persons (the “Exempt Investors”) who are “sophisticated investors” (within the meaning of section 708(8) of the Corporations Act), “professional investors” (within the meaning of 708(11) of the Corporations Act) or otherwise pursuant to one or more exemptions contained in section 708 of the Corporations Act so that it is lawful to offer the notes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person acquiring securities must observe such Australian on-sale restrictions. 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rom77574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notes will be passed upon for us by our counsel, Latham &amp; Watkins LLP, Houston, Texas. Certain legal matters relating to the offering of the notes will be passed upon for the underwriters by Hunton Andrews Kurth LLP, Houston, Texas, which has from time to time provided, and may provide in the future, certain legal services to us and our affiliates. </w:t>
      </w:r>
    </w:p>
    <w:p>
      <w:pPr>
        <w:pStyle w:val="TextBody"/>
        <w:bidi w:val="0"/>
        <w:spacing w:before="480" w:after="0"/>
        <w:jc w:val="center"/>
        <w:rPr>
          <w:rFonts w:ascii="Times New Roman" w:hAnsi="Times New Roman"/>
          <w:b/>
          <w:sz w:val="20"/>
        </w:rPr>
      </w:pPr>
      <w:bookmarkStart w:id="13" w:name="supprom77574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audited consolidated financial statements and management’s assessment of the effectiveness of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rom77574_12"/>
      <w:bookmarkEnd w:id="14"/>
      <w:r>
        <w:rPr>
          <w:rFonts w:ascii="Times New Roman" w:hAnsi="Times New Roman"/>
          <w:b/>
          <w:sz w:val="20"/>
        </w:rPr>
        <w:t xml:space="preserve">WHERE YOU CAN FIND MORE INFORMATION; INCORPORATION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 w:hAnsi="Times New Roman"/>
          <w:i/>
          <w:sz w:val="20"/>
        </w:rPr>
        <w:t>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web site address is </w:t>
      </w:r>
      <w:r>
        <w:rPr>
          <w:rFonts w:ascii="Times New Roman" w:hAnsi="Times New Roman"/>
          <w:i/>
          <w:sz w:val="20"/>
        </w:rPr>
        <w:t>http://www.energytransfer.com</w:t>
      </w:r>
      <w:r>
        <w:rPr>
          <w:rFonts w:ascii="Times New Roman" w:hAnsi="Times New Roman"/>
          <w:sz w:val="20"/>
        </w:rPr>
        <w:t xml:space="preserve">. The information on our web site, however, is not, and should not be deemed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base prospectus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supplement and the accompanying base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supplement and the accompanying base prospectus, which means that we can disclose important information to you by referring you to another document filed separately with the SEC. The information incorporated by reference is deemed to be part of this prospectus supplement and the accompanying base prospectus, and subsequent information that we file with the SEC will automatically update and supersede that information. Any statement contained in this prospectus supplement and the accompanying base prospectus or a previously filed document incorporated by reference will be deemed to be modified or superseded for purposes of this prospectus supplement and the accompanying base prospectus to the extent that a statement contained in this prospectus supplement and the accompanying base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base prospectus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February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4">
              <w:r>
                <w:rPr>
                  <w:rStyle w:val="InternetLink"/>
                  <w:rFonts w:ascii="Times New Roman" w:hAnsi="Times New Roman"/>
                  <w:sz w:val="20"/>
                </w:rPr>
                <w:t>Form 10-Q</w:t>
              </w:r>
            </w:hyperlink>
            <w:r>
              <w:rPr>
                <w:rFonts w:ascii="Times New Roman" w:hAnsi="Times New Roman"/>
                <w:sz w:val="20"/>
              </w:rPr>
              <w:t xml:space="preserve"> for the quarter ended March 31, 2026, filed with the SEC on May 7,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5">
              <w:r>
                <w:rPr>
                  <w:rStyle w:val="InternetLink"/>
                  <w:rFonts w:ascii="Times New Roman" w:hAnsi="Times New Roman"/>
                  <w:sz w:val="20"/>
                </w:rPr>
                <w:t>January 13, 2026</w:t>
              </w:r>
            </w:hyperlink>
            <w:r>
              <w:rPr>
                <w:rFonts w:ascii="Times New Roman" w:hAnsi="Times New Roman"/>
                <w:sz w:val="20"/>
              </w:rPr>
              <w:t xml:space="preserve">, </w:t>
            </w:r>
            <w:hyperlink r:id="rId6">
              <w:r>
                <w:rPr>
                  <w:rStyle w:val="InternetLink"/>
                  <w:rFonts w:ascii="Times New Roman" w:hAnsi="Times New Roman"/>
                  <w:sz w:val="20"/>
                </w:rPr>
                <w:t>January 27, 2026</w:t>
              </w:r>
            </w:hyperlink>
            <w:r>
              <w:rPr>
                <w:rFonts w:ascii="Times New Roman" w:hAnsi="Times New Roman"/>
                <w:sz w:val="20"/>
              </w:rPr>
              <w:t xml:space="preserve">, </w:t>
            </w:r>
            <w:hyperlink r:id="rId7">
              <w:r>
                <w:rPr>
                  <w:rStyle w:val="InternetLink"/>
                  <w:rFonts w:ascii="Times New Roman" w:hAnsi="Times New Roman"/>
                  <w:sz w:val="20"/>
                </w:rPr>
                <w:t>June  3, 2026</w:t>
              </w:r>
            </w:hyperlink>
            <w:r>
              <w:rPr>
                <w:rFonts w:ascii="Times New Roman" w:hAnsi="Times New Roman"/>
                <w:sz w:val="20"/>
              </w:rPr>
              <w:t xml:space="preserve"> and </w:t>
            </w:r>
            <w:hyperlink r:id="rId8">
              <w:r>
                <w:rPr>
                  <w:rStyle w:val="InternetLink"/>
                  <w:rFonts w:ascii="Times New Roman" w:hAnsi="Times New Roman"/>
                  <w:sz w:val="20"/>
                </w:rPr>
                <w:t>July 6,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Securities Exchange Act of 1934, as amended, which we refer to as the “Exchange Act” in this prospectus supplement, prior to the termination of this offering but excluding any information furnished to, rather than filed with, the SEC, will also be incorporated by reference into this prospectus supplement and deemed to be part of this prospectus from the date of the filing of such reports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Upon request, we will provide to each person, including any beneficial owner, to whom this prospectus supplement is delivered, a copy of any or all of the reports or documents that have been incorporated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reference in this prospectus supplement and the accompanying base prospectus. If you would like a copy of any of these documents, at no cost, please write or call us at: </w:t>
      </w:r>
    </w:p>
    <w:p>
      <w:pPr>
        <w:pStyle w:val="TextBody"/>
        <w:bidi w:val="0"/>
        <w:spacing w:before="240" w:after="0"/>
        <w:jc w:val="center"/>
        <w:rPr>
          <w:rFonts w:ascii="Times New Roman" w:hAnsi="Times New Roman"/>
          <w:sz w:val="20"/>
        </w:rPr>
      </w:pPr>
      <w:r>
        <w:rPr>
          <w:rFonts w:ascii="Times New Roman" w:hAnsi="Times New Roman"/>
          <w:sz w:val="20"/>
        </w:rPr>
        <w:t xml:space="preserve">Energy Transfer LP </w:t>
      </w:r>
    </w:p>
    <w:p>
      <w:pPr>
        <w:pStyle w:val="TextBody"/>
        <w:bidi w:val="0"/>
        <w:spacing w:before="0" w:after="0"/>
        <w:jc w:val="center"/>
        <w:rPr>
          <w:rFonts w:ascii="Times New Roman" w:hAnsi="Times New Roman"/>
          <w:sz w:val="20"/>
        </w:rPr>
      </w:pPr>
      <w:r>
        <w:rPr>
          <w:rFonts w:ascii="Times New Roman" w:hAnsi="Times New Roman"/>
          <w:sz w:val="20"/>
        </w:rPr>
        <w:t xml:space="preserve">8111 Westchester Drive, Suite 600 </w:t>
      </w:r>
    </w:p>
    <w:p>
      <w:pPr>
        <w:pStyle w:val="TextBody"/>
        <w:bidi w:val="0"/>
        <w:spacing w:before="0" w:after="0"/>
        <w:jc w:val="center"/>
        <w:rPr>
          <w:rFonts w:ascii="Times New Roman" w:hAnsi="Times New Roman"/>
          <w:sz w:val="20"/>
        </w:rPr>
      </w:pPr>
      <w:r>
        <w:rPr>
          <w:rFonts w:ascii="Times New Roman" w:hAnsi="Times New Roman"/>
          <w:sz w:val="20"/>
        </w:rPr>
        <w:t xml:space="preserve">Dallas, Texas 75225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(214) 981-0700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supplement or the accompanying base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040255" cy="6178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2040255" cy="61785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ENERGY TRANSFER LP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Units Representing Limited Partner Interests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Units Representing Limited Partner Interests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identified above from time to time in one or more offerings. This prospectus provides you with a general description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units are listed on the New York Stock Exchange (“NYSE”) under the symbol “ET.” Our 9.250% Series I Fixed Rate Perpetual Preferred Units are listed on the NYSE under the symbol “ETprI.”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RISKS. SEE THE “</w:t>
      </w:r>
      <w:hyperlink w:anchor="tx77574_5">
        <w:r>
          <w:rPr>
            <w:rStyle w:val="InternetLink"/>
            <w:rFonts w:ascii="Times New Roman" w:hAnsi="Times New Roman"/>
            <w:b/>
            <w:sz w:val="24"/>
          </w:rPr>
          <w:t>RISK FACTORS</w:t>
        </w:r>
      </w:hyperlink>
      <w:r>
        <w:rPr>
          <w:rFonts w:ascii="Times New Roman" w:hAnsi="Times New Roman"/>
          <w:b/>
          <w:sz w:val="24"/>
        </w:rPr>
        <w:t xml:space="preserve">” ON PAGE 7 OF THIS PROSPECTUS AND ANY SIMILAR SECTION CONTAINED IN THE APPLICABLE PROSPECTUS SUPPLEMENT CONCERNING FACTORS YOU SHOULD CONSIDER BEFORE INVESTING IN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June 5,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77574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2">
              <w:r>
                <w:rPr>
                  <w:rStyle w:val="InternetLink"/>
                  <w:rFonts w:ascii="Times New Roman" w:hAnsi="Times New Roman"/>
                  <w:sz w:val="20"/>
                </w:rPr>
                <w:t>WHERE YOU CAN FIND MORE INFORMATION; 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3">
              <w:r>
                <w:rPr>
                  <w:rStyle w:val="InternetLink"/>
                  <w:rFonts w:ascii="Times New Roman" w:hAnsi="Times New Roman"/>
                  <w:sz w:val="20"/>
                </w:rPr>
                <w:t>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4">
              <w:r>
                <w:rPr>
                  <w:rStyle w:val="InternetLink"/>
                  <w:rFonts w:ascii="Times New Roman" w:hAnsi="Times New Roman"/>
                  <w:sz w:val="20"/>
                </w:rPr>
                <w:t>ENERGY TRANSFER LP</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7">
              <w:r>
                <w:rPr>
                  <w:rStyle w:val="InternetLink"/>
                  <w:rFonts w:ascii="Times New Roman" w:hAnsi="Times New Roman"/>
                  <w:sz w:val="20"/>
                </w:rPr>
                <w:t>DESCRIPTION OF COMMON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8">
              <w:r>
                <w:rPr>
                  <w:rStyle w:val="InternetLink"/>
                  <w:rFonts w:ascii="Times New Roman" w:hAnsi="Times New Roman"/>
                  <w:sz w:val="20"/>
                </w:rPr>
                <w:t>OUR PARTNERSHIP AGREEMENT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9">
              <w:r>
                <w:rPr>
                  <w:rStyle w:val="InternetLink"/>
                  <w:rFonts w:ascii="Times New Roman" w:hAnsi="Times New Roman"/>
                  <w:sz w:val="20"/>
                </w:rPr>
                <w:t>DISTRIBUTION POLICY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10">
              <w:r>
                <w:rPr>
                  <w:rStyle w:val="InternetLink"/>
                  <w:rFonts w:ascii="Times New Roman" w:hAnsi="Times New Roman"/>
                  <w:sz w:val="20"/>
                </w:rPr>
                <w:t>DESCRIPTION OF PREFERRED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11">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12">
              <w:r>
                <w:rPr>
                  <w:rStyle w:val="InternetLink"/>
                  <w:rFonts w:ascii="Times New Roman" w:hAnsi="Times New Roman"/>
                  <w:sz w:val="20"/>
                </w:rPr>
                <w:t>GLOBAL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13">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14">
              <w:r>
                <w:rPr>
                  <w:rStyle w:val="InternetLink"/>
                  <w:rFonts w:ascii="Times New Roman" w:hAnsi="Times New Roman"/>
                  <w:sz w:val="20"/>
                </w:rPr>
                <w:t>MATERIAL U.S. FEDERAL INCOME TAX CONSEQUENCES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15">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7574_16">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77574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or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“ET,” “we,” “our,” “us” and the “Partnership” in this prospectus, we mean Energy Transfer LP and its consolidated subsidiaries, unless otherwise specified. When we refer to “our general partner,” we mean LE GP, LLC. When we refer to “you,” we mean the potential holders of the applicable series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77574_2"/>
      <w:bookmarkEnd w:id="16"/>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 w:hAnsi="Times New Roman"/>
          <w:i/>
          <w:sz w:val="20"/>
        </w:rPr>
        <w:t>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web site address is </w:t>
      </w:r>
      <w:r>
        <w:rPr>
          <w:rFonts w:ascii="Times New Roman" w:hAnsi="Times New Roman"/>
          <w:i/>
          <w:sz w:val="20"/>
        </w:rPr>
        <w:t>http://www.energytransfer.com</w:t>
      </w:r>
      <w:r>
        <w:rPr>
          <w:rFonts w:ascii="Times New Roman" w:hAnsi="Times New Roman"/>
          <w:sz w:val="20"/>
        </w:rPr>
        <w:t xml:space="preserve">. The information on our web site, however, is not, and should not be deemed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0">
              <w:r>
                <w:rPr>
                  <w:rStyle w:val="InternetLink"/>
                  <w:rFonts w:ascii="Times New Roman" w:hAnsi="Times New Roman"/>
                  <w:sz w:val="20"/>
                </w:rPr>
                <w:t>Form 10-K</w:t>
              </w:r>
            </w:hyperlink>
            <w:r>
              <w:rPr>
                <w:rFonts w:ascii="Times New Roman" w:hAnsi="Times New Roman"/>
                <w:sz w:val="20"/>
              </w:rPr>
              <w:t xml:space="preserve"> for the year ended December 31, 2023, filed with the SEC on February 16,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11">
              <w:r>
                <w:rPr>
                  <w:rStyle w:val="InternetLink"/>
                  <w:rFonts w:ascii="Times New Roman" w:hAnsi="Times New Roman"/>
                  <w:sz w:val="20"/>
                </w:rPr>
                <w:t>Form 10-Q</w:t>
              </w:r>
            </w:hyperlink>
            <w:r>
              <w:rPr>
                <w:rFonts w:ascii="Times New Roman" w:hAnsi="Times New Roman"/>
                <w:sz w:val="20"/>
              </w:rPr>
              <w:t xml:space="preserve"> for the quarter ended March 31, 2024, filed with the SEC on May 9,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2">
              <w:r>
                <w:rPr>
                  <w:rStyle w:val="InternetLink"/>
                  <w:rFonts w:ascii="Times New Roman" w:hAnsi="Times New Roman"/>
                  <w:sz w:val="20"/>
                </w:rPr>
                <w:t>January 11, 2024</w:t>
              </w:r>
            </w:hyperlink>
            <w:r>
              <w:rPr>
                <w:rFonts w:ascii="Times New Roman" w:hAnsi="Times New Roman"/>
                <w:sz w:val="20"/>
              </w:rPr>
              <w:t xml:space="preserve">, </w:t>
            </w:r>
            <w:hyperlink r:id="rId13">
              <w:r>
                <w:rPr>
                  <w:rStyle w:val="InternetLink"/>
                  <w:rFonts w:ascii="Times New Roman" w:hAnsi="Times New Roman"/>
                  <w:sz w:val="20"/>
                </w:rPr>
                <w:t>January  25, 2024</w:t>
              </w:r>
            </w:hyperlink>
            <w:r>
              <w:rPr>
                <w:rFonts w:ascii="Times New Roman" w:hAnsi="Times New Roman"/>
                <w:sz w:val="20"/>
              </w:rPr>
              <w:t xml:space="preserve">, </w:t>
            </w:r>
            <w:hyperlink r:id="rId14">
              <w:r>
                <w:rPr>
                  <w:rStyle w:val="InternetLink"/>
                  <w:rFonts w:ascii="Times New Roman" w:hAnsi="Times New Roman"/>
                  <w:sz w:val="20"/>
                </w:rPr>
                <w:t>January  26, 2024</w:t>
              </w:r>
            </w:hyperlink>
            <w:r>
              <w:rPr>
                <w:rFonts w:ascii="Times New Roman" w:hAnsi="Times New Roman"/>
                <w:sz w:val="20"/>
              </w:rPr>
              <w:t xml:space="preserve">, </w:t>
            </w:r>
            <w:hyperlink r:id="rId15">
              <w:r>
                <w:rPr>
                  <w:rStyle w:val="InternetLink"/>
                  <w:rFonts w:ascii="Times New Roman" w:hAnsi="Times New Roman"/>
                  <w:sz w:val="20"/>
                </w:rPr>
                <w:t>April  24, 2024</w:t>
              </w:r>
            </w:hyperlink>
            <w:r>
              <w:rPr>
                <w:rFonts w:ascii="Times New Roman" w:hAnsi="Times New Roman"/>
                <w:sz w:val="20"/>
              </w:rPr>
              <w:t xml:space="preserve">, and </w:t>
            </w:r>
            <w:hyperlink r:id="rId16">
              <w:r>
                <w:rPr>
                  <w:rStyle w:val="InternetLink"/>
                  <w:rFonts w:ascii="Times New Roman" w:hAnsi="Times New Roman"/>
                  <w:sz w:val="20"/>
                </w:rPr>
                <w:t>May 29, 2024</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units contained in the Registration Statement filed on </w:t>
            </w:r>
            <w:hyperlink r:id="rId17">
              <w:r>
                <w:rPr>
                  <w:rStyle w:val="InternetLink"/>
                  <w:rFonts w:ascii="Times New Roman" w:hAnsi="Times New Roman"/>
                  <w:sz w:val="20"/>
                </w:rPr>
                <w:t>Form 8-A</w:t>
              </w:r>
            </w:hyperlink>
            <w:r>
              <w:rPr>
                <w:rFonts w:ascii="Times New Roman" w:hAnsi="Times New Roman"/>
                <w:sz w:val="20"/>
              </w:rPr>
              <w:t xml:space="preserve">, dated January 31, 2006, filed with the SEC on January 11, 2006, and any amendment or report filed with the SEC for the purpose of updating the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Securities Exchange Act of 1934, as amended, which we refer to as the “Exchange Act” in this prospectus, prior to the termination of this offering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Energy Transfer LP </w:t>
      </w:r>
    </w:p>
    <w:p>
      <w:pPr>
        <w:pStyle w:val="TextBody"/>
        <w:bidi w:val="0"/>
        <w:spacing w:before="0" w:after="0"/>
        <w:jc w:val="center"/>
        <w:rPr>
          <w:rFonts w:ascii="Times New Roman" w:hAnsi="Times New Roman"/>
          <w:sz w:val="20"/>
        </w:rPr>
      </w:pPr>
      <w:r>
        <w:rPr>
          <w:rFonts w:ascii="Times New Roman" w:hAnsi="Times New Roman"/>
          <w:sz w:val="20"/>
        </w:rPr>
        <w:t xml:space="preserve">8111 Westchester Drive, Suite 600 </w:t>
      </w:r>
    </w:p>
    <w:p>
      <w:pPr>
        <w:pStyle w:val="TextBody"/>
        <w:bidi w:val="0"/>
        <w:spacing w:before="0" w:after="0"/>
        <w:jc w:val="center"/>
        <w:rPr>
          <w:rFonts w:ascii="Times New Roman" w:hAnsi="Times New Roman"/>
          <w:sz w:val="20"/>
        </w:rPr>
      </w:pPr>
      <w:r>
        <w:rPr>
          <w:rFonts w:ascii="Times New Roman" w:hAnsi="Times New Roman"/>
          <w:sz w:val="20"/>
        </w:rPr>
        <w:t xml:space="preserve">Dallas, Texas 75225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(214) 981-0700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77574_3"/>
      <w:bookmarkEnd w:id="17"/>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and the documents we incorporate by reference herein or therein contain various forward-looking statements and information that are based on our beliefs and those of our general partner, as well as assumptions made by and information currently available to us. These forward-looking statements are identified as any statement that does not relate strictly to historical or current facts. When used in this prospectus and any prospectus supplement and the documents we incorporate by reference herein or therein, words such as “anticipate,” “project,” “expect,” “plan,” “goal,” “forecast,” “estimate,” “intend,” “could,” “believe,” “may,” “will” and similar expressions and statements regarding our plans and objectives for future operations, are intended to identify forward-looking statements. Although we and our general partner believe that the expectations on which such forward-looking statements are based are reasonable, neither we nor our general partner can give assurances that such expectations will prove to be correct. Forward-looking statements are subject to a variety of risks, uncertainties and assumptions. If one or more of these risks or uncertainties materialize, or if underlying assumptions prove incorrect, our actual results may vary materially from those anticipated, estimated, projected or expected. Among the key risk factors that may have a direct bearing on our results of operations and financial condition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subsidiaries to make cash distributions to us, which is dependent on their results of operations, cash flows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actual amount of cash distributions by our subsidiaries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volumes transported on our subsidiaries’ pipelines and gathering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throughput in our subsidiaries’ processing and treating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fees our subsidiaries charge and the margins they realize for their gathering, treating, processing, storage and transportation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and market demand for, and the relationship between, natural gas and natural gas liquids, or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energy prices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impacts of world health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cyber and malware attacks;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of natural gas and NGLs compared to the price of alternative and competing fuels;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level of petroleum product demand and the availability and price of NGL supplies;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domestic oil, natural gas and NGL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imported oil, natural gas and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taken by foreign oil and gas producing 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political and economic stability of petroleum producing 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weather conditions on demand for oil, natural gas and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of local, intrastate and interstate transportation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continued ability to find and contract for new sources of natural gas supply;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and marketing of competitive fuels;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energy conservation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energy efficiencies and technological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regulation and taxation;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and the application of, regulation of tariff rates and operational requirements related to our subsidiaries’ interstate and intrastate pipelines;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hazards or operating risks incidental to the gathering, treating, processing and transporting of natural gas and NGLs;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from other midstream companies and interstate pipeline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key natural gas producers or the providers of fractionation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reductions in the capacity or allocations of third-party pipelines that connect with our subsidiaries’ pipelines and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risk-management policies and procedures and the ability of our subsidiaries liquids marketing counterparties to satisfy their financial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nonpayment or nonperformance by our subsidiaries’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development of new infrastructure projects or other growth projects, including failure to make sufficient progress to justify continued development, delays in obtaining customers, increased costs of financing and regulatory, environmental, political and legal uncertainties that may affect the timing and cost of these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the construction of new pipelines, treating and processing facilities or other facilities, or additions to our subsidiaries’ existing pipelines and their facilities, including difficulties in obtaining permits and rights-of-way or other regulatory approvals and the performance by third-party contractors;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and cost of capital and our subsidiaries’ ability to access certain capital 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deterioration of the credit and capital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the assets and operations of entities in which our subsidiaries own a noncontrolling interests, including risks related to management actions at such entities that our subsidiaries may not be able to control or exert influence;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successfully identify and consummate strategic acquisitions at purchase prices that are accretive to our financial results and to successfully integrate acquired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and regulations to which we are subject, including tax, environmental, transportation and employment regulations or new interpretations by regulatory agencies concerning such laws and regulations;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effects of legal and administrative proceedings.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not put undue reliance on any forward-looking statements. When considering forward-looking statements, please review the risks described or referenced in this prospectus and any prospectus supplement and the documents we incorporate by reference herein or therein. Each forward-looking statement made by us in this prospectus and any prospectus supplement and the documents we incorporate by reference herein or therein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77574_4"/>
      <w:bookmarkEnd w:id="18"/>
      <w:r>
        <w:rPr>
          <w:rFonts w:ascii="Times New Roman" w:hAnsi="Times New Roman"/>
          <w:b/>
          <w:sz w:val="20"/>
        </w:rPr>
        <w:t xml:space="preserve">ENERGY TRANSFER LP </w:t>
      </w:r>
    </w:p>
    <w:p>
      <w:pPr>
        <w:pStyle w:val="TextBody"/>
        <w:bidi w:val="0"/>
        <w:spacing w:before="240" w:after="0"/>
        <w:jc w:val="left"/>
        <w:rPr>
          <w:rFonts w:ascii="Times New Roman" w:hAnsi="Times New Roman"/>
          <w:sz w:val="20"/>
        </w:rPr>
      </w:pPr>
      <w:r>
        <w:rPr>
          <w:rFonts w:ascii="Times New Roman" w:hAnsi="Times New Roman"/>
          <w:sz w:val="20"/>
        </w:rPr>
        <w:t xml:space="preserve">Energy Transfer LP is a publicly traded limited partnership owning and operating a diversified portfolio of energy assets. Our core operations include complementary natural gas midstream, intrastate and interstate transportation and storage assets; crude oil, NGLs and refined product transportation and terminalling assets; NGL storage and fractionation; and various acquisition and marketing assets. We also own Lake Charles LNG Company, as well as limited partner interests and the general partner interests of publicly traded master limited partnerships Sunoco LP (NYSE: SUN) and USA Compression Partners, LP (NYSE: USAC).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our principal executive office is 8111 Westchester Drive, Suite 600, Dallas, Texas 75225, and the telephone number at this address is (214) 981-0700.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77574_5"/>
      <w:bookmarkEnd w:id="19"/>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“Forward-Looking Statements” included in our most recent Annual Report on Form 10-K and any subsequent Quarterly Reports on Form 10-Q or Current Reports on Form 8-K.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77574_6"/>
      <w:bookmarkEnd w:id="2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77574_7"/>
      <w:bookmarkEnd w:id="21"/>
      <w:r>
        <w:rPr>
          <w:rFonts w:ascii="Times New Roman" w:hAnsi="Times New Roman"/>
          <w:b/>
          <w:sz w:val="20"/>
        </w:rPr>
        <w:t xml:space="preserve">DESCRIPTION OF COMMON UNITS </w:t>
      </w:r>
    </w:p>
    <w:p>
      <w:pPr>
        <w:pStyle w:val="TextBody"/>
        <w:bidi w:val="0"/>
        <w:spacing w:before="240" w:after="0"/>
        <w:jc w:val="left"/>
        <w:rPr>
          <w:rFonts w:ascii="Times New Roman" w:hAnsi="Times New Roman"/>
          <w:b/>
          <w:sz w:val="20"/>
        </w:rPr>
      </w:pPr>
      <w:r>
        <w:rPr>
          <w:rFonts w:ascii="Times New Roman" w:hAnsi="Times New Roman"/>
          <w:b/>
          <w:sz w:val="20"/>
        </w:rPr>
        <w:t xml:space="preserve">Common Units </w:t>
      </w:r>
    </w:p>
    <w:p>
      <w:pPr>
        <w:pStyle w:val="TextBody"/>
        <w:bidi w:val="0"/>
        <w:spacing w:before="120" w:after="0"/>
        <w:jc w:val="left"/>
        <w:rPr>
          <w:rFonts w:ascii="Times New Roman" w:hAnsi="Times New Roman"/>
          <w:sz w:val="20"/>
        </w:rPr>
      </w:pPr>
      <w:r>
        <w:rPr>
          <w:rFonts w:ascii="Times New Roman" w:hAnsi="Times New Roman"/>
          <w:sz w:val="20"/>
        </w:rPr>
        <w:t xml:space="preserve">Our common units represent limited partner interests that entitle the holders to participate in our cash distributions and to exercise the rights and privileges available to limited partners under our Fourth Amended and Restated Agreement of Limited Partnership, as amended to date (our “partnership agreement”). For a description of the rights of holders of our common units to cash distributions, see the section in this prospectus entitled “Distribution Policy.” For a description of the rights and privileges of limited partners under our partnership agreement, including voting rights, see the section in this prospectus entitled “Our Partnership Agreement.” We urge you to read the partnership agreement, as the partnership agreement, and not this description, governs the rights of holders of our common units. </w:t>
      </w:r>
    </w:p>
    <w:p>
      <w:pPr>
        <w:pStyle w:val="TextBody"/>
        <w:bidi w:val="0"/>
        <w:spacing w:before="360" w:after="0"/>
        <w:jc w:val="left"/>
        <w:rPr>
          <w:rFonts w:ascii="Times New Roman" w:hAnsi="Times New Roman"/>
          <w:b/>
          <w:sz w:val="20"/>
        </w:rPr>
      </w:pPr>
      <w:r>
        <w:rPr>
          <w:rFonts w:ascii="Times New Roman" w:hAnsi="Times New Roman"/>
          <w:b/>
          <w:sz w:val="20"/>
        </w:rPr>
        <w:t xml:space="preserve">Number of Common Units </w:t>
      </w:r>
    </w:p>
    <w:p>
      <w:pPr>
        <w:pStyle w:val="TextBody"/>
        <w:bidi w:val="0"/>
        <w:spacing w:before="120" w:after="0"/>
        <w:jc w:val="left"/>
        <w:rPr>
          <w:rFonts w:ascii="Times New Roman" w:hAnsi="Times New Roman"/>
          <w:sz w:val="20"/>
        </w:rPr>
      </w:pPr>
      <w:r>
        <w:rPr>
          <w:rFonts w:ascii="Times New Roman" w:hAnsi="Times New Roman"/>
          <w:sz w:val="20"/>
        </w:rPr>
        <w:t xml:space="preserve">The majority of our common units are held by the public and the remaining are held by our affiliates. In accordance with Delaware law and the provisions of our partnership agreement, we may issue additional common units without the approval of the then-existing holders of common units, and such additional issuance may dilute the then-existing common unitholders’ percentage interests in our net assets and the voting rights of the common unitholders under our partnership agreement. As of June 3, 2024, we had 3,371,355,966 common units outstanding, the majority of which are held by the public and the remaining held by our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Unlike the holders of common stock in a corporation, the holders of our common units have only limited voting rights on matters affecting our business. The holders of our common units have no right to elect the general partner or the directors of the general partner on an annual or otherwise continuing basis. Our general partner may not be removed except by the vote of the holders of at least 66 2/3% of the outstanding units, including units owned by the general partner and its affiliates. Each holder of common units is entitled to one vote for each common unit on all matters submitted to a vote of the unitholders. Common unitholders do not have preemptive rights to acquire additional common units or other partnership securities. </w:t>
      </w:r>
    </w:p>
    <w:p>
      <w:pPr>
        <w:pStyle w:val="TextBody"/>
        <w:bidi w:val="0"/>
        <w:spacing w:before="240" w:after="0"/>
        <w:jc w:val="left"/>
        <w:rPr>
          <w:rFonts w:ascii="Times New Roman" w:hAnsi="Times New Roman"/>
          <w:sz w:val="20"/>
        </w:rPr>
      </w:pPr>
      <w:r>
        <w:rPr>
          <w:rFonts w:ascii="Times New Roman" w:hAnsi="Times New Roman"/>
          <w:sz w:val="20"/>
        </w:rPr>
        <w:t xml:space="preserve">Holders of our common units may vote on the following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sale or exchange of all or substantially all of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election of a successor general partner in connection with the withdrawal or removal of our general partner;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dissolution or reconstitution of our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merger of our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issuance of limited partner interests in some circumstances;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amendments to the partnership agreement, including any amendment that will cause Energy Transfer to be treated as an association taxable as a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Removal of the general partner requires: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66 2/3% vote of all outstanding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election of a successor general partner by the holders of a majority of our outstanding common units.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Transfer of Common Units </w:t>
      </w:r>
    </w:p>
    <w:p>
      <w:pPr>
        <w:pStyle w:val="TextBody"/>
        <w:bidi w:val="0"/>
        <w:spacing w:before="120" w:after="0"/>
        <w:jc w:val="left"/>
        <w:rPr>
          <w:rFonts w:ascii="Times New Roman" w:hAnsi="Times New Roman"/>
          <w:sz w:val="20"/>
        </w:rPr>
      </w:pPr>
      <w:r>
        <w:rPr>
          <w:rFonts w:ascii="Times New Roman" w:hAnsi="Times New Roman"/>
          <w:sz w:val="20"/>
        </w:rPr>
        <w:t xml:space="preserve">Any transfers of a common unit will not be recorded by the transfer agent or recognized by us unless the transferee executes and delivers a transfer application. By executing and delivering a transfer application, the transferee of common units: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becomes the record holder of the common units and is an assignee until admitted as a substituted limited partner;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automatically requests admission as a substituted limited partner;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and warrants that such transferee has the right, power and authority and, if an individual, the capacity to enter into our partnership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grants the powers of attorney set forth in our partnership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gives the consents and approvals and makes the waivers contained in our partnership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assignee will become a substituted limited partner for the transferred common units upon the consent of our general partner and the recording of the name of the assignee on our books and records. Our general partner may withhold its consent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A transferee’s broker, agent or nominee may complete, execute and deliver a transfer application. We are entitled to treat the nominee holder of a common unit as the absolute owner. In that case, the beneficial holder’s rights are limited solely to those that it has against the nominee holder as a result of any agreement between the beneficial owner and the nominee holder. </w:t>
      </w:r>
    </w:p>
    <w:p>
      <w:pPr>
        <w:pStyle w:val="TextBody"/>
        <w:bidi w:val="0"/>
        <w:spacing w:before="240" w:after="0"/>
        <w:jc w:val="left"/>
        <w:rPr>
          <w:rFonts w:ascii="Times New Roman" w:hAnsi="Times New Roman"/>
          <w:sz w:val="20"/>
        </w:rPr>
      </w:pPr>
      <w:r>
        <w:rPr>
          <w:rFonts w:ascii="Times New Roman" w:hAnsi="Times New Roman"/>
          <w:sz w:val="20"/>
        </w:rPr>
        <w:t xml:space="preserve">Common units are securities and are transferable according to the laws governing transfer of securities. In addition to other rights acquired upon admission as a substituted limited partner for the transferred common units, a purchaser or transferee of common units who does not execute and deliver a transfer application obtains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to assign the common units to a purchaser or other transferee;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to transfer the right to seek admission as a substituted limited partner for the transferred common units.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Thus, a purchaser or transferee of common units who does not execute and deliver a transfer application: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receive cash distributions or federal income tax allocations, unless the common units are held in a nominee or “street name” account and the nominee or broker has executed and delivered a transfer application;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not receive some federal income tax information or reports furnished to record holders of common units.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transferor of common units has a duty to provide the transferee with all information that may be necessary to transfer the common units. The transferor does not have a duty to insure the execution of the transfer application by the transferee and has no liability or responsibility if the transferee neglects or chooses not to execute and forward the transfer application to the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Until a common unit has been transferred on our books, we and the transfer agent may treat the record holder of the common unit as the absolute owner for all purposes, except as otherwise required by law or stock exchange regulations.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outstanding common units are listed on the NYSE under the symbol “ET.” Any additional common units we issue also will be listed on the NYSE.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the common units is Equiniti.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77574_8"/>
      <w:bookmarkEnd w:id="22"/>
      <w:r>
        <w:rPr>
          <w:rFonts w:ascii="Times New Roman" w:hAnsi="Times New Roman"/>
          <w:b/>
          <w:sz w:val="20"/>
        </w:rPr>
        <w:t xml:space="preserve">OUR PARTNERSHIP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is a summary of the material provisions of our partnership agreement. The provisions of our partnership agreement relating to distributions of our available cash are described under “Distribution Policy.”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of our partnership agreement contained herein does not purport to be complete and is qualified in its entirety by reference to the complete text of our Fourth Amended and Restated Agreement of Limited Partnership, dated November 3, 2023, as amended. A copy of our partnership agreement is filed as Exhibit 3.2 to our Current Report on Form 8-K filed with the SEC on November 6, 2023, which is incorporated by reference into this prospectus. We urge you to read our partnership agreement, as our partnership agreement, and not this description, governs our partnership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Purpose </w:t>
      </w:r>
    </w:p>
    <w:p>
      <w:pPr>
        <w:pStyle w:val="TextBody"/>
        <w:bidi w:val="0"/>
        <w:spacing w:before="120" w:after="0"/>
        <w:jc w:val="left"/>
        <w:rPr>
          <w:rFonts w:ascii="Times New Roman" w:hAnsi="Times New Roman"/>
          <w:sz w:val="20"/>
        </w:rPr>
      </w:pPr>
      <w:r>
        <w:rPr>
          <w:rFonts w:ascii="Times New Roman" w:hAnsi="Times New Roman"/>
          <w:sz w:val="20"/>
        </w:rPr>
        <w:t xml:space="preserve">Under our partnership agreement, we are permitted to engage, directly or indirectly, in any business activity that is approved by our general partner and that lawfully may be conducted by a limited partnership organized under Delaware law, provided that our general partner may not cause us to engage, directly or indirectly, in any business activity that our general partner determines would cause us to be treated as an association taxable as a corporation or otherwise taxable as an entity for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Power of Attorney </w:t>
      </w:r>
    </w:p>
    <w:p>
      <w:pPr>
        <w:pStyle w:val="TextBody"/>
        <w:bidi w:val="0"/>
        <w:spacing w:before="120" w:after="0"/>
        <w:jc w:val="left"/>
        <w:rPr>
          <w:rFonts w:ascii="Times New Roman" w:hAnsi="Times New Roman"/>
          <w:sz w:val="20"/>
        </w:rPr>
      </w:pPr>
      <w:r>
        <w:rPr>
          <w:rFonts w:ascii="Times New Roman" w:hAnsi="Times New Roman"/>
          <w:sz w:val="20"/>
        </w:rPr>
        <w:t xml:space="preserve">Each unitholder, and each person who acquires a unit from a unitholder, by accepting the unit, automatically grants to our general partner and, if appointed, a liquidator, a power of attorney to, among other things, execute and file documents required for our qualification, continuance or dissolution. The power of attorney also grants the authority to amend, and to make consents and waivers under, our partnership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partnership agreement, we make quarterly distributions of available cash to all unitholders and our general partner. Please see “Distribution Policy.” </w:t>
      </w:r>
    </w:p>
    <w:p>
      <w:pPr>
        <w:pStyle w:val="TextBody"/>
        <w:bidi w:val="0"/>
        <w:spacing w:before="360" w:after="0"/>
        <w:jc w:val="left"/>
        <w:rPr>
          <w:rFonts w:ascii="Times New Roman" w:hAnsi="Times New Roman"/>
          <w:b/>
          <w:sz w:val="20"/>
        </w:rPr>
      </w:pPr>
      <w:r>
        <w:rPr>
          <w:rFonts w:ascii="Times New Roman" w:hAnsi="Times New Roman"/>
          <w:b/>
          <w:sz w:val="20"/>
        </w:rPr>
        <w:t xml:space="preserve">Reimbursement of Expenses </w:t>
      </w:r>
    </w:p>
    <w:p>
      <w:pPr>
        <w:pStyle w:val="TextBody"/>
        <w:bidi w:val="0"/>
        <w:spacing w:before="120" w:after="0"/>
        <w:jc w:val="left"/>
        <w:rPr>
          <w:rFonts w:ascii="Times New Roman" w:hAnsi="Times New Roman"/>
          <w:sz w:val="20"/>
        </w:rPr>
      </w:pPr>
      <w:r>
        <w:rPr>
          <w:rFonts w:ascii="Times New Roman" w:hAnsi="Times New Roman"/>
          <w:sz w:val="20"/>
        </w:rPr>
        <w:t xml:space="preserve">Our partnership agreement requires us to reimburse our general partner for all direct and indirect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our general partner by its affiliates. Our general partner is entitled to determine in good faith the expenses that are allocable to us.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of Additional Partnership Securities; Preemptive Rights </w:t>
      </w:r>
    </w:p>
    <w:p>
      <w:pPr>
        <w:pStyle w:val="TextBody"/>
        <w:bidi w:val="0"/>
        <w:spacing w:before="120" w:after="0"/>
        <w:jc w:val="left"/>
        <w:rPr>
          <w:rFonts w:ascii="Times New Roman" w:hAnsi="Times New Roman"/>
          <w:sz w:val="20"/>
        </w:rPr>
      </w:pPr>
      <w:r>
        <w:rPr>
          <w:rFonts w:ascii="Times New Roman" w:hAnsi="Times New Roman"/>
          <w:sz w:val="20"/>
        </w:rPr>
        <w:t xml:space="preserve">Our partnership agreement authorizes us to issue an unlimited number of additional partnership securities and options, rights, warrants and appreciation rights relating to the partnership securities for any partnership purpose at any time and from time to time to such persons, for such consideration and on such terms and conditions as our general partner determines, all without the approval of any limited partners.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we will fund acquisitions through the issuance of additional common units or other equity securities. Holders of any additional common units we issue will be entitled to share equally with the then-existing holders of common units in our distributions of available cash. In addition, the issuance of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partnership interests may dilute (i) the percentage interests of the then-existing holders of common units in our net assets and (ii) the voting rights of the then-existing holders of common units under our partnership agreement.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Delaware law and the provisions of our partnership agreement, we may also issue additional partnership securities that have special voting rights to which the common units are not entitled. </w:t>
      </w:r>
    </w:p>
    <w:p>
      <w:pPr>
        <w:pStyle w:val="TextBody"/>
        <w:bidi w:val="0"/>
        <w:spacing w:before="240" w:after="0"/>
        <w:jc w:val="left"/>
        <w:rPr>
          <w:rFonts w:ascii="Times New Roman" w:hAnsi="Times New Roman"/>
          <w:sz w:val="20"/>
        </w:rPr>
      </w:pPr>
      <w:r>
        <w:rPr>
          <w:rFonts w:ascii="Times New Roman" w:hAnsi="Times New Roman"/>
          <w:sz w:val="20"/>
        </w:rPr>
        <w:t xml:space="preserve">Upon issuance of additional partnership securities, our general partner will have the right to make additional capital contributions to the extent necessary to maintain its then-current general partner interest in us; provided, however, that the capital contributions of our general partner will be offset to the extent contributions received by us in exchange for the issuance of additional partnership securities are used by us concurrently with such contributions to redeem or repurchase from any person outstanding partnership securities of the same class as the partnership securities that were issued. Moreover, our general partner will have the right, which it may from time to time assign in whole or in part to any of its affiliates, to purchase common units or other partnership securities whenever, and on the same terms that, we issue those securities to persons other than our general partner and its affiliates, to the extent necessary to maintain its percentage interest, including its interest represented by common units, that existed immediately prior to each issuance.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our common units do not have preemptive rights to acquire additional common units or other partnership securities. </w:t>
      </w:r>
    </w:p>
    <w:p>
      <w:pPr>
        <w:pStyle w:val="TextBody"/>
        <w:bidi w:val="0"/>
        <w:spacing w:before="240" w:after="0"/>
        <w:jc w:val="left"/>
        <w:rPr>
          <w:rFonts w:ascii="Times New Roman" w:hAnsi="Times New Roman"/>
          <w:sz w:val="20"/>
        </w:rPr>
      </w:pPr>
      <w:r>
        <w:rPr>
          <w:rFonts w:ascii="Times New Roman" w:hAnsi="Times New Roman"/>
          <w:sz w:val="20"/>
        </w:rPr>
        <w:t xml:space="preserve">As of June 3, 2024, we had 834,434,002 Class A units representing limited partner interests (the “Class A units”) outstanding. The Class A units vote together with our common units, as a single class, on any matter for which the holders of common units are entitled to vote, except as required by law. Additionally, for so long as Kelcy Warren is an officer or a director of our general partner, upon the issuance by us of additional common units or any securities that have voting rights that are pari passu with our common units, we will issue to the holder of Class A units a number of additional Class A units such that the holder maintains a voting interest in us that is identical to its voting interest in us prior to such issuance. The Class A units are not entitled to distributions and otherwise have no economic attributes, except that the Class A units in the aggregate will be entitled to an aggregate $100 distribution prior and in preference to any distribution of assets to the holders of any other classes or series of our securities upon our liquidation, dissolution or winding up. The Class A units are not convertible into, or exchangeable for, common units. In addition to the other voting rights of the Class A units, without the approval of 66 2/3% of the Class A units, we may not take any action that disproportionately or materially adversely affects the rights, preferences or privileges of the Class A units or amend the terms of the Class A units. Without the prior approval of a conflicts committee of the board of directors of our general partner, the Class A units may not be transferred to any person or entity, other than to Kelcy Warren, Ray Davis or to any trust, family partnership or family limited liability company the sole beneficiaries, partners or members of which are Kelcy Warren, Ray Davis or their respective relatives.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to Our Partnership Agreement </w:t>
      </w:r>
    </w:p>
    <w:p>
      <w:pPr>
        <w:pStyle w:val="TextBody"/>
        <w:bidi w:val="0"/>
        <w:spacing w:before="12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Amendments to our partnership agreement may be proposed only by our general partner. Our general partner has no duty or obligation to propose any amendment to our partnership agreement and may decline to do so free of any fiduciary duty or obligation whatsoever to us, any limited partner or assignee and, in declining to propose an amendment, is not required to act in good faith or pursuant to any other standard imposed by our partnership agreement, any other agreement contemplated under our partnership agreement or under the Delaware Act or any other law, rule or regulation. A proposed amendment will be effective upon its approval by the holders of a majority of the outstanding common units (a “unit majority”), unless a greater or different percentage is required under our partnership agreement or by Delaware law. Each proposed amendment that requires the approval of the holders of a specified percentage of outstanding units will be set forth in a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contains the text of the proposed amendment. If such an amendment is proposed, our general partner will seek the written approval of the requisite percentage of outstanding units or call a meeting of the unitholders to consider and vote on such proposed amendment. Our general partner will notify all record holders upon final adoption of any such proposed amendments. </w:t>
      </w:r>
    </w:p>
    <w:p>
      <w:pPr>
        <w:pStyle w:val="TextBody"/>
        <w:bidi w:val="0"/>
        <w:spacing w:before="360" w:after="0"/>
        <w:jc w:val="left"/>
        <w:rPr>
          <w:rFonts w:ascii="Times New Roman" w:hAnsi="Times New Roman"/>
          <w:i/>
          <w:sz w:val="20"/>
        </w:rPr>
      </w:pPr>
      <w:r>
        <w:rPr>
          <w:rFonts w:ascii="Times New Roman" w:hAnsi="Times New Roman"/>
          <w:i/>
          <w:sz w:val="20"/>
        </w:rPr>
        <w:t xml:space="preserve">Restrictions on Certain Amendments </w:t>
      </w:r>
    </w:p>
    <w:p>
      <w:pPr>
        <w:pStyle w:val="TextBody"/>
        <w:bidi w:val="0"/>
        <w:spacing w:before="120" w:after="0"/>
        <w:jc w:val="left"/>
        <w:rPr>
          <w:rFonts w:ascii="Times New Roman" w:hAnsi="Times New Roman"/>
          <w:sz w:val="20"/>
        </w:rPr>
      </w:pPr>
      <w:r>
        <w:rPr>
          <w:rFonts w:ascii="Times New Roman" w:hAnsi="Times New Roman"/>
          <w:sz w:val="20"/>
        </w:rPr>
        <w:t xml:space="preserve">Our partnership agreement provides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provision of our partnership agreement that establishes a percentage of outstanding units (including units deemed owned by our general partner) required to take any action shall be amended, altered, changed, repealed or rescinded in any respect that would have the effect of reducing such voting percentage unless such amendment is approved by the written consent or the affirmative vote of holders of outstanding units whose aggregate outstanding units constitute not less than the voting requirement sought to be reduced;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amendment to our partnership agreement may (a) enlarge the obligations of any limited partner without its consent, unless such shall be deemed to have occurred as a result of an amendment approved pursuant to clause (3) below, (b) enlarge the obligations of, restrict in any way any action by or rights of, or reduce in any way the amounts distributable, reimbursable or otherwise payable to, our general partner or any of its affiliates without its consent, which consent may be given or withheld at its option, (c) change the provision of our partnership agreement providing for our dissolution upon an election to dissolve our partnership by our general partner that is approved by a unit majority (the “election to dissolve provision”), or (d) change the term of our partnership or, except as set forth in the election to dissolve provision, give any person the right to dissolve our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mergers or consolidations approved pursuant to the partnership agreement, and without limitation of our general partner’s authority to adopt amendments to our partnership agreement described below under “—No Unitholder Approval,” any amendment that would have a material adverse effect on the rights or preferences of any class of partnership interests in relation to other classes of partnership interests must be approved by the holders of not less than a majority of the outstanding partnership interests of the class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amendments described below under “—No Unitholder Approval” and except in connection with unitholder approval of a merger or consolidation, no amendments shall become effective without the approval of the holders of at least 90% of the outstanding units voting as a single class unless we obtain an opinion of counsel to the effect that such amendment will not affect the limited liability of any limited partner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amendments described below under “—No Unitholder Approval,” the provisions set forth in clauses (1) through (4) above and (6) below may only be amended with the approval of the holders of at least 90% of the outstanding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the approval of the holders of 66 2/3% of the Class A Units, we may not take any action that disproportionately or materially adversely affects the rights, preferences or privileges of the Class A Units or amend the terms of the Class A Units.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No Unitholder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Our general partner, without the approval of any limited partner, may amend any provision of our partnership agreement to reflect: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change in our name, the location of our principal place of business, our registered agent or our registered office;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admission, substitution, withdrawal or removal of partners in accordance with our partnership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change that our general partner determines to be necessary or appropriate to qualify or continue the qualification of our partnership as a limited partnership or a partnership in which the limited partners have limited liability under the laws of any state or to ensure that the members of the partnership group will not be treated as associations taxable as corporations or otherwise taxed as entities for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change that our general partner determines (a) does not adversely affect the limited partners (including any particular class of partnership interests as compared to other classes of partnership interests) in any material respect, (b) to be necessary or appropriate to (i) satisfy any requirements, conditions or guidelines contained in any opinion, directive, order, ruling or regulation of any federal or state agency or judicial authority or contained in any federal or state statute (including the Delaware Act) or (ii) facilitate the trading of our units (including the division of any class or classes of outstanding units into different classes to facilitate uniformity of tax consequences within such classes of units) or comply with any rule, regulation, guideline or requirement of any national securities exchange on which the units are or will be listed for trading, (c) to be necessary or appropriate in connection with action taken by our general partner pursuant to the provisions of our partnership agreement governing distributions, subdivisions and combinations of partnership securities or (d) is required to effect the intent of the provisions of our partnership agreement or is otherwise contemplated by our partnership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change in our fiscal year or taxable year and any other changes that our general partner determines to be necessary or appropriate as a result of a change in our fiscal year or taxable year, including, if our general partner shall so determine, a change in the definition of “Quarter” under our partnership agreement and the dates on which distributions (other than the distributions to our existing preferred units, as described below in “Distribution Policy”) are to be made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amendment that is necessary, in the opinion of counsel, to prevent us, or our general partner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limitations, an amendment that our general partner determines to be necessary or appropriate in connection with the authorization of issuance of any class or series of partnership securities pursuant to our partnership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amendment expressly permitted in our partnership agreement to be made by our general partner acting alone;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amendment effected, necessitated or contemplated by a merger agreement approved in accordance with the provisions of our partnership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amendment that our general partner determines to be necessary or appropriate to reflect and account for the formation by us of, or investment by us in, any corporation, partnership, joint venture, limited liability company or other entity, in connection with the conduct by us of activities permitted by the terms of our partnership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merger or conveyance pursuant to which (a) our general partner has received an opinion of counsel that the conversion, merger or conveyance, as the case may be, would not result in the loss of the limited liability of any limited partner or any member of the partnership group or cause us or any member of the partnership group to be treated as an association taxable as a corporation or otherwise to be taxed as an entity for federal income tax purposes (to the extent not previously treated as such), (b) the sole purpose of such conversion, merger or conveyance is to effect a mere change in the legal form of us into another limited liability entity and (c) the governing instruments of the new entity provide the limited partners and our general partner with the same rights and obligations as are contained in our partnership agreement;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amendments substantially similar to the foregoing.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Withdrawal or Removal of Our General Partner </w:t>
      </w:r>
    </w:p>
    <w:p>
      <w:pPr>
        <w:pStyle w:val="TextBody"/>
        <w:bidi w:val="0"/>
        <w:spacing w:before="120" w:after="0"/>
        <w:jc w:val="left"/>
        <w:rPr>
          <w:rFonts w:ascii="Times New Roman" w:hAnsi="Times New Roman"/>
          <w:sz w:val="20"/>
        </w:rPr>
      </w:pPr>
      <w:r>
        <w:rPr>
          <w:rFonts w:ascii="Times New Roman" w:hAnsi="Times New Roman"/>
          <w:sz w:val="20"/>
        </w:rPr>
        <w:t xml:space="preserve">Our general partner may withdraw as general partner without first obtaining approval of any unitholder by giving 90 days’ notice to our unitholders, and that withdrawal will not constitute a breach of our partnership agreement. In addition, our partnership agreement permits our general partner in some instances to sell or otherwise transfer all of its general partner interest in us without the approval of the unitholders. </w:t>
      </w:r>
    </w:p>
    <w:p>
      <w:pPr>
        <w:pStyle w:val="TextBody"/>
        <w:bidi w:val="0"/>
        <w:spacing w:before="240" w:after="0"/>
        <w:jc w:val="left"/>
        <w:rPr>
          <w:rFonts w:ascii="Times New Roman" w:hAnsi="Times New Roman"/>
          <w:sz w:val="20"/>
        </w:rPr>
      </w:pPr>
      <w:r>
        <w:rPr>
          <w:rFonts w:ascii="Times New Roman" w:hAnsi="Times New Roman"/>
          <w:sz w:val="20"/>
        </w:rPr>
        <w:t xml:space="preserve">If our general partner gives a notice of withdrawal, the holders of a unit majority, may, prior to the effective date of such withdrawal, elect a successor general partner. The person so elected as successor general partner will automatically become the successor general partner or managing member, to the extent applicable, of the other members of the partnership group of which our general partner is a general partner or a managing member. If, prior to the effective date of our general partner’s withdrawal, a successor is not selected by our unitholders or we do not receive a withdrawal opinion of counsel regarding limited liability and tax matters, our partnership will be dissolved in accordance with our partnership agreement. </w:t>
      </w:r>
    </w:p>
    <w:p>
      <w:pPr>
        <w:pStyle w:val="TextBody"/>
        <w:bidi w:val="0"/>
        <w:spacing w:before="240" w:after="0"/>
        <w:jc w:val="left"/>
        <w:rPr>
          <w:rFonts w:ascii="Times New Roman" w:hAnsi="Times New Roman"/>
          <w:sz w:val="20"/>
        </w:rPr>
      </w:pPr>
      <w:r>
        <w:rPr>
          <w:rFonts w:ascii="Times New Roman" w:hAnsi="Times New Roman"/>
          <w:sz w:val="20"/>
        </w:rPr>
        <w:t xml:space="preserve">Our general partner may be removed if such removal is approved by our unitholders holding at least 66 2/3% of the outstanding units (including units held by our general partner and its affiliates). The right of the holders of outstanding units to remove our general partner may not be exercised unless we have received a withdrawal opinion of counsel regarding limited liability and tax matters. The ownership of more than 33 1/3% of our outstanding units by our general partner and its affiliates would give it the practical ability to prevent its removal. </w:t>
      </w:r>
    </w:p>
    <w:p>
      <w:pPr>
        <w:pStyle w:val="TextBody"/>
        <w:bidi w:val="0"/>
        <w:spacing w:before="240" w:after="0"/>
        <w:jc w:val="left"/>
        <w:rPr>
          <w:rFonts w:ascii="Times New Roman" w:hAnsi="Times New Roman"/>
          <w:sz w:val="20"/>
        </w:rPr>
      </w:pPr>
      <w:r>
        <w:rPr>
          <w:rFonts w:ascii="Times New Roman" w:hAnsi="Times New Roman"/>
          <w:sz w:val="20"/>
        </w:rPr>
        <w:t xml:space="preserve">We will be required to reimburse the departing general partner for all amounts due the departing general partner, including, without limitation, all employee-related liabilities, including severance liabilities, incurred in connection with the termination of any employees employed by the departing general partner or its affiliates for the benefit of us or the other members of the partnership group.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of General Partner Interest </w:t>
      </w:r>
    </w:p>
    <w:p>
      <w:pPr>
        <w:pStyle w:val="TextBody"/>
        <w:bidi w:val="0"/>
        <w:spacing w:before="120" w:after="0"/>
        <w:jc w:val="left"/>
        <w:rPr>
          <w:rFonts w:ascii="Times New Roman" w:hAnsi="Times New Roman"/>
          <w:sz w:val="20"/>
        </w:rPr>
      </w:pPr>
      <w:r>
        <w:rPr>
          <w:rFonts w:ascii="Times New Roman" w:hAnsi="Times New Roman"/>
          <w:sz w:val="20"/>
        </w:rPr>
        <w:t xml:space="preserve">Our general partner may transfer all or any of its general partner interest without unitholder approval. At any time, the members of our general partner may sell or transfer all or part of their membership interests in our general partner to an affiliate or a third party without the approval of our unitholders.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and Distribution of Proceeds </w:t>
      </w:r>
    </w:p>
    <w:p>
      <w:pPr>
        <w:pStyle w:val="TextBody"/>
        <w:bidi w:val="0"/>
        <w:spacing w:before="120" w:after="0"/>
        <w:jc w:val="left"/>
        <w:rPr>
          <w:rFonts w:ascii="Times New Roman" w:hAnsi="Times New Roman"/>
          <w:sz w:val="20"/>
        </w:rPr>
      </w:pPr>
      <w:r>
        <w:rPr>
          <w:rFonts w:ascii="Times New Roman" w:hAnsi="Times New Roman"/>
          <w:sz w:val="20"/>
        </w:rPr>
        <w:t xml:space="preserve">We will continue as a limited partnership until dissolved under our partnership agreement. We will dissolve upon: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withdrawal, removal, bankruptcy or dissolution of our general partner, unless a successor general partner is elected prior to or on the effective date of such withdrawal, removal, bankruptcy or dissolution and a withdrawal opinion of counsel is received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election to dissolve us by our general partner that is approved by the holders of a unit majority;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of a decree of judicial dissolution of us pursuant to the provisions of the Delaware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exchange or other disposition of all or substantially all of the assets and properties of the partnership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(a) our dissolution following the withdrawal or removal of our general partner and the failure of the partners to select a successor general partner, then within 90 days thereafter, or (b) our dissolution upon the bankruptcy or dissolution of our general partner, then, to the maximum extent permitted by law, within 180 days thereafter, the holders of a unit majority may elect to reconstitute us and continue our business on the same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conditions set forth in our partnership agreement by forming a new limited partnership on terms identical to those set forth in our partnership agreement and having as the successor general partner a person approved by the holders of a unit majority. Unless such an election is made within the applicable time period as set forth above, we shall conduct only activities necessary to wind up our affairs. </w:t>
      </w:r>
    </w:p>
    <w:p>
      <w:pPr>
        <w:pStyle w:val="TextBody"/>
        <w:bidi w:val="0"/>
        <w:spacing w:before="360" w:after="0"/>
        <w:jc w:val="left"/>
        <w:rPr>
          <w:rFonts w:ascii="Times New Roman" w:hAnsi="Times New Roman"/>
          <w:b/>
          <w:sz w:val="20"/>
        </w:rPr>
      </w:pPr>
      <w:r>
        <w:rPr>
          <w:rFonts w:ascii="Times New Roman" w:hAnsi="Times New Roman"/>
          <w:b/>
          <w:sz w:val="20"/>
        </w:rPr>
        <w:t xml:space="preserve">Limited Call Right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our general partner and its affiliates hold more than 90% of the total limited partner interests of any class then outstanding, our general partner will then have the right, which right it may assign and transfer in whole or in part to us or any affiliate of our general partner, exercisable at its option, to purchase all, but not less than all, of such limited partner interests of such class then outstanding held by persons other than our general partner and its affiliates. As a consequence, a unitholder may be required to sell his common units at an undesirable time or price.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Section 17-108 of the Delaware Act empowers a Delaware limited partnership to indemnify and hold harmless any partner or other person from and against all claims and demands whatsoever. Under our partnership agreement, in most circumstances, we will indemnify the following persons (each an “indemnitee”) to the fullest extent permitted by law,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general partner;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departing general partner;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is or was an affiliate of our general partner or any departing general partner;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is or was a member, partner, officer, director, fiduciary or trustee of any member of the partnership group, our general partner or any departing partner or any affiliate of any member of the partnership group, our general partner or any departing partner;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is or was serving at the request of our general partner or any departing partner or any affiliate of our general partner or any departing partner as an officer, director, member, partner, fiduciary or trustee of another person (provided, that a person will not be an indemnitee by reason of providing, on a fee-for-services basis, trustee, fiduciary or custodial services);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that our general partner designates as an “indemnitee” for purposes of our partnership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indemnification under these provisions will only be out of our assets. Unless it otherwise agrees in its sole discretion, our general partner will not be personally liable for, or have any obligation to contribute or loan funds or assets to us to enable us to effectuate, such indemnification. We may purchase insurance against liabilities asserted against and expenses incurred by persons for our activities, regardless of whether we would have the power to indemnify the person against liabilities under the partnership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our partnership agreement, an indemnitee will not be indemnified and held harmless if there has been a final and non-appealable judgment entered by a court of competent jurisdiction determining that, in respect of the matter for which the indemnitee is seeking indemnification pursuant to our partnership agreement, the indemnitee acted in bad faith or engaged in fraud, willful misconduct or gross negligence or, in the case of a criminal matter, acted with knowledge that the indemnitee’s conduct was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opinion of the SEC, indemnification provisions that purport to include indemnification for liabilities arising under the Securities Act are contrary to public policy and are, therefore,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Under our partnership agreement, we have agreed to register for resale under the Securities Act and applicable state securities laws any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77574_9"/>
      <w:bookmarkEnd w:id="23"/>
      <w:r>
        <w:rPr>
          <w:rFonts w:ascii="Times New Roman" w:hAnsi="Times New Roman"/>
          <w:b/>
          <w:sz w:val="20"/>
        </w:rPr>
        <w:t xml:space="preserve">DISTRIBUTION POLICY </w:t>
      </w:r>
    </w:p>
    <w:p>
      <w:pPr>
        <w:pStyle w:val="TextBody"/>
        <w:bidi w:val="0"/>
        <w:spacing w:before="24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distribute to our unitholders, within 50 calendar days after the end of each quarter (or the business day immediately thereafter), all of our available cash in the manner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Definition of Available Cash </w:t>
      </w:r>
    </w:p>
    <w:p>
      <w:pPr>
        <w:pStyle w:val="TextBody"/>
        <w:bidi w:val="0"/>
        <w:spacing w:before="120" w:after="0"/>
        <w:jc w:val="left"/>
        <w:rPr>
          <w:rFonts w:ascii="Times New Roman" w:hAnsi="Times New Roman"/>
          <w:sz w:val="20"/>
        </w:rPr>
      </w:pPr>
      <w:r>
        <w:rPr>
          <w:rFonts w:ascii="Times New Roman" w:hAnsi="Times New Roman"/>
          <w:sz w:val="20"/>
        </w:rPr>
        <w:t xml:space="preserve">Available cash generally means, for any calendar quarter, all cash on hand at the end of such quarter: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less</w:t>
            </w:r>
            <w:r>
              <w:rPr>
                <w:rFonts w:ascii="Times New Roman" w:hAnsi="Times New Roman"/>
                <w:sz w:val="20"/>
              </w:rPr>
              <w:t xml:space="preserve"> the amount of cash that the general partner determines in good faith is necessary or appropriate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0"/>
        <w:gridCol w:w="8882"/>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proper conduct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satisfy general, administrative and other expenses and debt service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applicable law, any of our debt instruments or other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funds for distributions to our unitholders and to our general partner for any one or more of the next four quarters;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funds for distributions on our outstanding preferred units and Class B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plus</w:t>
            </w:r>
            <w:r>
              <w:rPr>
                <w:rFonts w:ascii="Times New Roman" w:hAnsi="Times New Roman"/>
                <w:sz w:val="20"/>
              </w:rPr>
              <w:t xml:space="preserve"> all cash on hand on the date of determination of available cash for the quarter.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Distributions of Cash Upon Liquidation </w:t>
      </w:r>
    </w:p>
    <w:p>
      <w:pPr>
        <w:pStyle w:val="TextBody"/>
        <w:bidi w:val="0"/>
        <w:spacing w:before="120" w:after="0"/>
        <w:jc w:val="left"/>
        <w:rPr>
          <w:rFonts w:ascii="Times New Roman" w:hAnsi="Times New Roman"/>
          <w:sz w:val="20"/>
        </w:rPr>
      </w:pPr>
      <w:r>
        <w:rPr>
          <w:rFonts w:ascii="Times New Roman" w:hAnsi="Times New Roman"/>
          <w:sz w:val="20"/>
        </w:rPr>
        <w:t xml:space="preserve">If we dissolve in accordance with our partnership agreement, we will sell or otherwise dispose of our assets in a process called a liquidation. We will first apply the proceeds of liquidation to the payment of our creditors in the order of priority provided in the partnership agreement and by law, and, thereafter, we will distribute $100 to the holders of our Class A Units in the aggregate and any remaining proceeds to our other unitholders, including the holders of our common units and our general partner, in accordance with their respective positive capital account balances, as adjusted to reflect any gain or loss upon the sale or other disposition of our assets in liquidation. </w:t>
      </w:r>
    </w:p>
    <w:p>
      <w:pPr>
        <w:pStyle w:val="TextBody"/>
        <w:bidi w:val="0"/>
        <w:spacing w:before="240" w:after="0"/>
        <w:jc w:val="left"/>
        <w:rPr>
          <w:rFonts w:ascii="Times New Roman" w:hAnsi="Times New Roman"/>
          <w:sz w:val="20"/>
        </w:rPr>
      </w:pPr>
      <w:r>
        <w:rPr>
          <w:rFonts w:ascii="Times New Roman" w:hAnsi="Times New Roman"/>
          <w:sz w:val="20"/>
        </w:rPr>
        <w:t xml:space="preserve">No unitholder will have any obligation to restore any negative balance in its capital account upon liquidation of us. </w:t>
      </w:r>
    </w:p>
    <w:p>
      <w:pPr>
        <w:pStyle w:val="TextBody"/>
        <w:bidi w:val="0"/>
        <w:spacing w:before="360" w:after="0"/>
        <w:jc w:val="left"/>
        <w:rPr>
          <w:rFonts w:ascii="Times New Roman" w:hAnsi="Times New Roman"/>
          <w:i/>
          <w:sz w:val="20"/>
        </w:rPr>
      </w:pPr>
      <w:r>
        <w:rPr>
          <w:rFonts w:ascii="Times New Roman" w:hAnsi="Times New Roman"/>
          <w:i/>
          <w:sz w:val="20"/>
        </w:rPr>
        <w:t xml:space="preserve">Distributions to Preferred Unitholders </w:t>
      </w:r>
    </w:p>
    <w:p>
      <w:pPr>
        <w:pStyle w:val="TextBody"/>
        <w:bidi w:val="0"/>
        <w:spacing w:before="120" w:after="0"/>
        <w:jc w:val="left"/>
        <w:rPr>
          <w:rFonts w:ascii="Times New Roman" w:hAnsi="Times New Roman"/>
          <w:sz w:val="20"/>
        </w:rPr>
      </w:pPr>
      <w:r>
        <w:rPr>
          <w:rFonts w:ascii="Times New Roman" w:hAnsi="Times New Roman"/>
          <w:sz w:val="20"/>
        </w:rPr>
        <w:t xml:space="preserve">Prior to making any distributions to the unitholders as described above, the holders of our preferred units are entitled to receive, when, as, and if declared by our general partner out of legally available funds for such purpose, cumulative quarterly cash distributions. Unless otherwise determined by our general partner, distributions on the ET preferred units are deemed to have been paid out of available cash with respect to the quarter ended immediately preceding the quarter in which the distribution is made. </w:t>
      </w:r>
    </w:p>
    <w:p>
      <w:pPr>
        <w:pStyle w:val="TextBody"/>
        <w:bidi w:val="0"/>
        <w:spacing w:before="240" w:after="0"/>
        <w:jc w:val="left"/>
        <w:rPr>
          <w:rFonts w:ascii="Times New Roman" w:hAnsi="Times New Roman"/>
          <w:sz w:val="20"/>
        </w:rPr>
      </w:pPr>
      <w:r>
        <w:rPr>
          <w:rFonts w:ascii="Times New Roman" w:hAnsi="Times New Roman"/>
          <w:sz w:val="20"/>
        </w:rPr>
        <w:t xml:space="preserve">Distributions on each class of our preferred units are subject to an initial fixed distribution rate for a specified term, followed by a floating or reset distribution rate, as applicable, to extend thereafter until all of our outstanding preferred units of that class are redeemed. </w:t>
      </w:r>
    </w:p>
    <w:p>
      <w:pPr>
        <w:pStyle w:val="TextBody"/>
        <w:bidi w:val="0"/>
        <w:spacing w:before="240" w:after="0"/>
        <w:jc w:val="left"/>
        <w:rPr>
          <w:rFonts w:ascii="Times New Roman" w:hAnsi="Times New Roman"/>
          <w:sz w:val="20"/>
        </w:rPr>
      </w:pPr>
      <w:r>
        <w:rPr>
          <w:rFonts w:ascii="Times New Roman" w:hAnsi="Times New Roman"/>
          <w:sz w:val="20"/>
        </w:rPr>
        <w:t xml:space="preserve">The 6.250% Series A Fixed-to-Floating Rate Cumulative Redeemable Perpetual Preferred Units had an initial distribution rate of 6.250% of the Series A liquidation preference of $1,000 per Series A preferred unit (the “Series A Liquidation Preference”) until February 14, 2023 and, thereafter, distributions accumulate for each distribution period at a percentage of the Series A Liquidation Preference equal to the sum of an annual floating rate of the three-month SOFR, a 0.26161% tenor spread adjustment and a spread of 4.028% per annum.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6.625% Series B Fixed-to-Floating Rate Cumulative Redeemable Perpetual Preferred Units have an initial distribution rate of 6.625% of the Series B liquidation preference of $1,000 per Series B preferred unit (the “Series B Liquidation Preference”) until February 14, 2028 and, thereafter, distributions will accumulate for each distribution period at a percentage of the Series B Liquidation Preference equal to the sum of an annual floating rate of the three-month SOFR, a 0.26161% tenor spread adjustment and a spread of 4.155% per annum. </w:t>
      </w:r>
    </w:p>
    <w:p>
      <w:pPr>
        <w:pStyle w:val="TextBody"/>
        <w:bidi w:val="0"/>
        <w:spacing w:before="240" w:after="0"/>
        <w:jc w:val="left"/>
        <w:rPr>
          <w:rFonts w:ascii="Times New Roman" w:hAnsi="Times New Roman"/>
          <w:sz w:val="20"/>
        </w:rPr>
      </w:pPr>
      <w:r>
        <w:rPr>
          <w:rFonts w:ascii="Times New Roman" w:hAnsi="Times New Roman"/>
          <w:sz w:val="20"/>
        </w:rPr>
        <w:t xml:space="preserve">The 6.750% Series F Fixed-Rate Reset Cumulative Redeemable Perpetual Preferred Units have an initial distribution rate of 6.750% of the Series F liquidation preference of $1,000 per Series F preferred unit (the “Series F Liquidation Preference”) until May 15, 2025 and, thereafter, distributions will accumulate for each distribution period at a percentage of the Series F Liquidation Preference equal to the Five-year U.S. Treasury Rate as of the most recent Series F Reset Distribution Determination Date plus a spread of 5.134% per annum. </w:t>
      </w:r>
    </w:p>
    <w:p>
      <w:pPr>
        <w:pStyle w:val="TextBody"/>
        <w:bidi w:val="0"/>
        <w:spacing w:before="240" w:after="0"/>
        <w:jc w:val="left"/>
        <w:rPr>
          <w:rFonts w:ascii="Times New Roman" w:hAnsi="Times New Roman"/>
          <w:sz w:val="20"/>
        </w:rPr>
      </w:pPr>
      <w:r>
        <w:rPr>
          <w:rFonts w:ascii="Times New Roman" w:hAnsi="Times New Roman"/>
          <w:sz w:val="20"/>
        </w:rPr>
        <w:t xml:space="preserve">The 7.125% Series G Fixed-Rate Reset Cumulative Redeemable Perpetual Preferred Units have an initial distribution rate of 7.125% of the Series G liquidation preference of $1,000 per Series G preferred unit (the “Series G Liquidation Preference”) until May 15, 2030 and, thereafter, distributions will accumulate for each distribution period at a percentage of the Series G Liquidation Preference equal to the Five-year U.S. Treasury Rate as of the most recent Series G Reset Distribution Determination Date plus a spread of 5.306% per annum. </w:t>
      </w:r>
    </w:p>
    <w:p>
      <w:pPr>
        <w:pStyle w:val="TextBody"/>
        <w:bidi w:val="0"/>
        <w:spacing w:before="240" w:after="0"/>
        <w:jc w:val="left"/>
        <w:rPr>
          <w:rFonts w:ascii="Times New Roman" w:hAnsi="Times New Roman"/>
          <w:sz w:val="20"/>
        </w:rPr>
      </w:pPr>
      <w:r>
        <w:rPr>
          <w:rFonts w:ascii="Times New Roman" w:hAnsi="Times New Roman"/>
          <w:sz w:val="20"/>
        </w:rPr>
        <w:t xml:space="preserve">The 6.500% Series H Fixed-Rate Reset Cumulative Redeemable Perpetual Preferred Units have an initial distribution rate of 6.500% of the Series H liquidation preference of $1,000 per Series H preferred unit (the “Series H Liquidation Preference”) until November 15, 2026 and, thereafter, distributions will accumulate for each distribution period at a percentage of the Series H Liquidation Preference equal to the Five-year U.S. Treasury Rate as of the most recent Series H Reset Distribution Determination Date plus a spread of 5.694% per annum. </w:t>
      </w:r>
    </w:p>
    <w:p>
      <w:pPr>
        <w:pStyle w:val="TextBody"/>
        <w:bidi w:val="0"/>
        <w:spacing w:before="240" w:after="0"/>
        <w:jc w:val="left"/>
        <w:rPr>
          <w:rFonts w:ascii="Times New Roman" w:hAnsi="Times New Roman"/>
          <w:sz w:val="20"/>
        </w:rPr>
      </w:pPr>
      <w:r>
        <w:rPr>
          <w:rFonts w:ascii="Times New Roman" w:hAnsi="Times New Roman"/>
          <w:sz w:val="20"/>
        </w:rPr>
        <w:t xml:space="preserve">The 9.250% Series I Fixed Rate Perpetual Preferred Units have a cumulative distribution rate of $0.2111 per Series I preferred unit per fiscal quarter. Each Series I preferred unit is entitled to a liquidation preference of the sum of $9.1273 plus all accrued and unpaid distributions until an event giving rise to the dissolution of the Partnership. </w:t>
      </w:r>
    </w:p>
    <w:p>
      <w:pPr>
        <w:pStyle w:val="TextBody"/>
        <w:bidi w:val="0"/>
        <w:spacing w:before="360" w:after="0"/>
        <w:jc w:val="left"/>
        <w:rPr>
          <w:rFonts w:ascii="Times New Roman" w:hAnsi="Times New Roman"/>
          <w:i/>
          <w:sz w:val="20"/>
        </w:rPr>
      </w:pPr>
      <w:r>
        <w:rPr>
          <w:rFonts w:ascii="Times New Roman" w:hAnsi="Times New Roman"/>
          <w:i/>
          <w:sz w:val="20"/>
        </w:rPr>
        <w:t xml:space="preserve">Distributions to Other Units </w:t>
      </w:r>
    </w:p>
    <w:p>
      <w:pPr>
        <w:pStyle w:val="TextBody"/>
        <w:bidi w:val="0"/>
        <w:spacing w:before="120" w:after="0"/>
        <w:jc w:val="left"/>
        <w:rPr>
          <w:rFonts w:ascii="Times New Roman" w:hAnsi="Times New Roman"/>
          <w:sz w:val="20"/>
        </w:rPr>
      </w:pPr>
      <w:r>
        <w:rPr>
          <w:rFonts w:ascii="Times New Roman" w:hAnsi="Times New Roman"/>
          <w:sz w:val="20"/>
        </w:rPr>
        <w:t xml:space="preserve">Our partnership agreement provides that each Class B unit is entitled to a quarterly cash distribution in an amount equal to $0.35325 per Class B unit. If we are unable to pay the Class B unit quarterly distribution with respect to any quarter, (i) the amount of such accrued and unpaid distributions will accumulate until paid in full in cash and (ii) the balance of such accrued and unpaid distributions shall increase at a rate of 1.5% per annum, compounded quarterly, from the date such distribution was due until the date it is paid. </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77574_10"/>
      <w:bookmarkEnd w:id="24"/>
      <w:r>
        <w:rPr>
          <w:rFonts w:ascii="Times New Roman" w:hAnsi="Times New Roman"/>
          <w:b/>
          <w:sz w:val="20"/>
        </w:rPr>
        <w:t xml:space="preserve">DESCRIPTION OF PREFERRED UNITS </w:t>
      </w:r>
    </w:p>
    <w:p>
      <w:pPr>
        <w:pStyle w:val="TextBody"/>
        <w:bidi w:val="0"/>
        <w:spacing w:before="240" w:after="0"/>
        <w:jc w:val="left"/>
        <w:rPr>
          <w:rFonts w:ascii="Times New Roman" w:hAnsi="Times New Roman"/>
          <w:sz w:val="20"/>
        </w:rPr>
      </w:pPr>
      <w:r>
        <w:rPr>
          <w:rFonts w:ascii="Times New Roman" w:hAnsi="Times New Roman"/>
          <w:sz w:val="20"/>
        </w:rPr>
        <w:t xml:space="preserve">Our partnership agreement authorizes us to issue an unlimited number of additional limited partner interests and other equity securities on the terms and conditions established by our general partner without the approval of any of our limited partners. In accordance with Delaware law and the provisions of our partnership agreement, we may issue additional partnership interests that have special voting rights to which our common units are not entitled. </w:t>
      </w:r>
    </w:p>
    <w:p>
      <w:pPr>
        <w:pStyle w:val="TextBody"/>
        <w:bidi w:val="0"/>
        <w:spacing w:before="240" w:after="0"/>
        <w:jc w:val="left"/>
        <w:rPr>
          <w:rFonts w:ascii="Times New Roman" w:hAnsi="Times New Roman"/>
          <w:sz w:val="20"/>
        </w:rPr>
      </w:pPr>
      <w:r>
        <w:rPr>
          <w:rFonts w:ascii="Times New Roman" w:hAnsi="Times New Roman"/>
          <w:sz w:val="20"/>
        </w:rPr>
        <w:t xml:space="preserve">We will set forth in the applicable prospectus supplement a description of any preferred units issued by us that may be offered and sold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As of June 3, 2024, we had outstanding: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950,000 6.250% Series A Fixed-to-Floating Rate Cumulative Redeemable Perpetual Preferred Units, liquidation preference $1,000 per unit, representing a limited partner interest in ET (“Series A preferred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550,000 6.625% Series B Fixed-to-Floating Rate Cumulative Redeemable Perpetual Preferred Units, liquidation preference $1,000 per unit, representing limited partner interests in ET (the “Series B preferred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500,000 6.750% Series F Fixed-Rate Reset Cumulative Redeemable Perpetual Preferred Units, liquidation preference $1,000 per unit, representing limited partner interests in ET (the “Series F preferred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1,484,780 7.125% Series G Fixed-Rate Reset Cumulative Redeemable Perpetual Preferred Units, liquidation preference $1,000 per unit, representing limited partner interests in ET (the “Series G preferred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900,000 6.500% Series H Fixed-Rate Reset Cumulative Redeemable Perpetual Preferred Units (the “Series H preferred units” and, together with the Series A preferred units, the Series B preferred units, the Series F preferred units and the Series G preferred units, the “institutional preferred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41,464,179 Series I Fixed-Rate Perpetual Preferred Units, representing limited partner interests in ET (the “Series I preferred units” and, together with the institutional preferred units, the “existing preferred units”).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urge you to read our partnership agreement, as our partnership agreement, and not this description, governs our partnership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each series of existing preferred units are entitled to receive cumulative distributions as described under “Distribution Policy—Distributions to Preferred Unitholders.”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The Series I preferred units are listed on the NYSE under the symbol “ETprI.” The institutional preferred units are not listed on any securities exchange.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Each series of existing preferred units, with respect to anticipated semi-annual or quarterly distributions and distributions upon the liquidation, winding-up and dissolution of our affairs, ranks: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any junior securities (including our common units and the general partner interest);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pari passu with any parity securities (including each other series of our preferred units, including the existing preferred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any senior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series of existing preferred units is subordinated to all of our and our subsidiaries’ existing and future indebtedness and other liabilities (including our senior notes, and any other senior securities we may issue in the future with respect to assets available to satisfy claims against us). </w:t>
      </w:r>
    </w:p>
    <w:p>
      <w:pPr>
        <w:pStyle w:val="TextBody"/>
        <w:bidi w:val="0"/>
        <w:spacing w:before="240" w:after="0"/>
        <w:jc w:val="left"/>
        <w:rPr>
          <w:rFonts w:ascii="Times New Roman" w:hAnsi="Times New Roman"/>
          <w:sz w:val="20"/>
        </w:rPr>
      </w:pPr>
      <w:r>
        <w:rPr>
          <w:rFonts w:ascii="Times New Roman" w:hAnsi="Times New Roman"/>
          <w:sz w:val="20"/>
        </w:rPr>
        <w:t xml:space="preserve">Under our partnership agreement, we may issue junior securities from time to time in one or more series without the consent of the holders of the existing preferred units. Our general partner has the authority to determine the designations, preferences, rights, powers, and duties of any such series before the issuance of any units of that series. Our general partner will also determine the number of units constituting each series of securities. Our ability to issue additional parity securities in certain circumstances or senior securities is limited as described below under “Voting Rights.”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i/>
          <w:sz w:val="20"/>
        </w:rPr>
      </w:pPr>
      <w:r>
        <w:rPr>
          <w:rFonts w:ascii="Times New Roman" w:hAnsi="Times New Roman"/>
          <w:i/>
          <w:sz w:val="20"/>
        </w:rPr>
        <w:t xml:space="preserve">Institutional Preferred Units </w:t>
      </w:r>
    </w:p>
    <w:p>
      <w:pPr>
        <w:pStyle w:val="TextBody"/>
        <w:bidi w:val="0"/>
        <w:spacing w:before="120" w:after="0"/>
        <w:jc w:val="left"/>
        <w:rPr>
          <w:rFonts w:ascii="Times New Roman" w:hAnsi="Times New Roman"/>
          <w:sz w:val="20"/>
        </w:rPr>
      </w:pPr>
      <w:r>
        <w:rPr>
          <w:rFonts w:ascii="Times New Roman" w:hAnsi="Times New Roman"/>
          <w:sz w:val="20"/>
        </w:rPr>
        <w:t xml:space="preserve">At any time with respect to the Series A preferred units, at any time on or after February 15, 2028, with respect to the Series B preferred units, on any Series F Redemption Date (defined below), with respect to the Series F preferred units, on any Series G Redemption Date (defined below), with respect to the Series G preferred units, or during any Series H Redemption Period (as defined below), with respect to the Series H preferred units, we may redeem each series of institutional preferred units, in whole or in part, out of amounts legally available therefor, at a redemption price of $1,000 per unit plus an amount equal to all accumulated and unpaid distributions thereon to, but excluding, the date of redemption, whether or not declared. In addition, we may redeem each series of institutional preferred units, in whole but not in part, at a price of $1,020 per unit upon the occurrence of certain changes to the equity credit criteria attributed to the applicable series of institutional preferred units by any of ET’s rating agencies as further described in our partnership agreement. Any such redemption would be effected only out of funds legally available for such purpose and would be subject to compliance with the provisions of the instruments governing our outstanding indebtedness. With respect to the Series A preferred units and the Series B preferred units, we must provide not less than 15 days’ and not more than 60 days’ written notice of any such redemption. With respect to the Series F preferred units, the Series G preferred units and the Series H preferred units, we must provide not less than 30 days’ and not more than 60 days’ written notice of any such redemption. We may undertake multiple partial redemptions with respect to each series of institutional preferred units. </w:t>
      </w:r>
    </w:p>
    <w:p>
      <w:pPr>
        <w:pStyle w:val="TextBody"/>
        <w:bidi w:val="0"/>
        <w:spacing w:before="240" w:after="0"/>
        <w:jc w:val="left"/>
        <w:rPr/>
      </w:pPr>
      <w:r>
        <w:rPr/>
        <w:t>“</w:t>
      </w:r>
      <w:r>
        <w:rPr>
          <w:rFonts w:ascii="Times New Roman" w:hAnsi="Times New Roman"/>
          <w:sz w:val="20"/>
        </w:rPr>
        <w:t xml:space="preserve">Series F Redemption Date” means May 15, 2025, and each fifth anniversary of the commencement of the prior Series F Redemption Date. </w:t>
      </w:r>
    </w:p>
    <w:p>
      <w:pPr>
        <w:pStyle w:val="TextBody"/>
        <w:bidi w:val="0"/>
        <w:spacing w:before="240" w:after="0"/>
        <w:jc w:val="left"/>
        <w:rPr/>
      </w:pPr>
      <w:r>
        <w:rPr/>
        <w:t>“</w:t>
      </w:r>
      <w:r>
        <w:rPr>
          <w:rFonts w:ascii="Times New Roman" w:hAnsi="Times New Roman"/>
          <w:sz w:val="20"/>
        </w:rPr>
        <w:t xml:space="preserve">Series G Redemption Date” means May 15, 2030, and each fifth anniversary of the commencement of the prior Series G Redemption Date. </w:t>
      </w:r>
    </w:p>
    <w:p>
      <w:pPr>
        <w:pStyle w:val="TextBody"/>
        <w:bidi w:val="0"/>
        <w:spacing w:before="240" w:after="0"/>
        <w:jc w:val="left"/>
        <w:rPr/>
      </w:pPr>
      <w:r>
        <w:rPr/>
        <w:t>“</w:t>
      </w:r>
      <w:r>
        <w:rPr>
          <w:rFonts w:ascii="Times New Roman" w:hAnsi="Times New Roman"/>
          <w:sz w:val="20"/>
        </w:rPr>
        <w:t xml:space="preserve">Series H Redemption Period” means the period from August 15, 2026 to November 15, 2026, and each three-month period beginning on the fifth anniversary of the commencement of the prior Series H Redemption Period. </w:t>
      </w:r>
    </w:p>
    <w:p>
      <w:pPr>
        <w:pStyle w:val="TextBody"/>
        <w:bidi w:val="0"/>
        <w:spacing w:before="360" w:after="0"/>
        <w:jc w:val="left"/>
        <w:rPr>
          <w:rFonts w:ascii="Times New Roman" w:hAnsi="Times New Roman"/>
          <w:i/>
          <w:sz w:val="20"/>
        </w:rPr>
      </w:pPr>
      <w:r>
        <w:rPr>
          <w:rFonts w:ascii="Times New Roman" w:hAnsi="Times New Roman"/>
          <w:i/>
          <w:sz w:val="20"/>
        </w:rPr>
        <w:t xml:space="preserve">Series I Preferred Units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not more than 20% of the total outstanding Series I preferred units are held by persons other than our general partner and its affiliates, our general partner shall then have the right, which right it may assign and transfer in whole or in party to us or any affiliate of our general partner, exercisable in its sole discretion,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purchase all, but not less than all, of such Series I preferred units than outstanding held by persons other than our general partner and its affiliates, at the greater of (x) the market price for the Series I preferred units at the date three days prior to the date on which notice of the purchase is mailed to holders of the Series I preferred units and (y) the highest price paid by our general partner or any of its affiliates for any limited partner interest of such class purchased during the 90-day period preceding the date on which notice of the purchase is mailed to holders of the Series I preferred units.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The institutional preferred units are not convertible into or exchangeable for any other securities or property at the option of the holder. </w:t>
      </w:r>
    </w:p>
    <w:p>
      <w:pPr>
        <w:pStyle w:val="TextBody"/>
        <w:bidi w:val="0"/>
        <w:spacing w:before="240" w:after="0"/>
        <w:jc w:val="left"/>
        <w:rPr>
          <w:rFonts w:ascii="Times New Roman" w:hAnsi="Times New Roman"/>
          <w:sz w:val="20"/>
        </w:rPr>
      </w:pPr>
      <w:r>
        <w:rPr>
          <w:rFonts w:ascii="Times New Roman" w:hAnsi="Times New Roman"/>
          <w:sz w:val="20"/>
        </w:rPr>
        <w:t xml:space="preserve">Holders of Series I preferred units may elect (i) to convert all or any portion of such preferred units, in an aggregate amount equaling or exceeding the Minimum Conversion Amount (as defined in the Partnership Agreement), into common units, at the then applicable Conversion Ratio (as defined in the Partnership Agreement, initially 2.07 common units for ten Series I preferred units), subject to the payment of any accrued but unpaid distributions to the date of such conversion and (ii) in the event of the Partnership’s voluntary liquidation, dissolution or winding up, to convert all or any portion of such Series I preferred units into common units, at the then applicable Conversion Ratio, subject to payment of any accrued but unpaid distributions to the date of conversion. </w:t>
      </w:r>
    </w:p>
    <w:p>
      <w:pPr>
        <w:pStyle w:val="TextBody"/>
        <w:bidi w:val="0"/>
        <w:spacing w:before="240" w:after="0"/>
        <w:jc w:val="left"/>
        <w:rPr>
          <w:rFonts w:ascii="Times New Roman" w:hAnsi="Times New Roman"/>
          <w:sz w:val="20"/>
        </w:rPr>
      </w:pPr>
      <w:r>
        <w:rPr>
          <w:rFonts w:ascii="Times New Roman" w:hAnsi="Times New Roman"/>
          <w:sz w:val="20"/>
        </w:rPr>
        <w:t xml:space="preserve">At any time, subject to certain liquidity requirements set forth in the Partnership Agreement, if the volume-weighted average trading price of the common units on the national securities exchange on which the common units are then listed (the “VWAP Price”) for 20 trading days over the 30-trading day period ending on the close of trading on the day immediately preceding the date notice is given by the Partnership of election of its conversion right is greater than the quotient of (i) $13.691 divided by (ii) the then applicable Conversion Ratio (or approximately $66.14 based on the initial Conversion Ratio), the Partnership’s general partner, in its sole discretion, may convert all or a portion of the outstanding Series I preferred units into common units, at the then applicable Conversion Ratio, subject to the payment of any accrued but unpaid distributions to the date of conversion. Also, subject to certain liquidity requirements set forth in the Partnership Agreement, if the VWAP Price of the common units for 20 trading days over the 30-trading day period ending on the close of trading on the day immediately preceding the date notice is given by the Partnership of the exercise of its conversion right is greater than the quotient of (i) $9.1273 divided by (ii) the then applicable Conversion Ratio (or approximately $44.09 based on the initial Conversion Ratio), the Partnership’s general partner, in its sole discretion, may convert all, but not less than all, of the outstanding Series I preferred units into a number of common units equal to the Adjusted Conversion Amount (as defined in the Partnership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If necessary, the holders of outstanding institutional preferred units will first be specially allocated items of our gross income and gain in a manner designed to cause, in the event of any liquidation, dissolution or winding up of ET’s affairs, whether voluntary or involuntary, a liquidation preference of $1,000 per unit. </w:t>
      </w:r>
    </w:p>
    <w:p>
      <w:pPr>
        <w:pStyle w:val="TextBody"/>
        <w:bidi w:val="0"/>
        <w:spacing w:before="240" w:after="0"/>
        <w:jc w:val="left"/>
        <w:rPr>
          <w:rFonts w:ascii="Times New Roman" w:hAnsi="Times New Roman"/>
          <w:sz w:val="20"/>
        </w:rPr>
      </w:pPr>
      <w:r>
        <w:rPr>
          <w:rFonts w:ascii="Times New Roman" w:hAnsi="Times New Roman"/>
          <w:sz w:val="20"/>
        </w:rPr>
        <w:t xml:space="preserve">If the amount of ET’s gross income and gain available to be specially allocated to the existing preferred units is not sufficient to cause the capital account of such existing preferred unit to equal the liquidation preference of the existing preferred unit, then the amount that a holder of such existing preferred unit would receive upon liquidation may be less than the liquidation preference of such existing preferred unit. Any accumulated and unpaid distributions on the existing preferred units and the parity securities will be paid prior to any distributions in liquidation made in accordance with capital account balances. The rights of holders of the existing preferred units to receive the liquidation preference will be subject to the rights of the holders of any senior securities and the proportional rights of holders of the parity securities. A consolidation or merger of ET with or into any other entity, individually or in a series of transactions, will not be deemed to be a liquidation, dissolution or winding up of ET’s affairs.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below, holders of the existing preferred units generally have no voting rights. </w:t>
      </w:r>
    </w:p>
    <w:p>
      <w:pPr>
        <w:pStyle w:val="TextBody"/>
        <w:bidi w:val="0"/>
        <w:spacing w:before="240" w:after="0"/>
        <w:jc w:val="left"/>
        <w:rPr>
          <w:rFonts w:ascii="Times New Roman" w:hAnsi="Times New Roman"/>
          <w:sz w:val="20"/>
        </w:rPr>
      </w:pPr>
      <w:r>
        <w:rPr>
          <w:rFonts w:ascii="Times New Roman" w:hAnsi="Times New Roman"/>
          <w:sz w:val="20"/>
        </w:rPr>
        <w:t xml:space="preserve">Unless ET has received the affirmative vote or consent of the holders of at least two-thirds of the outstanding units of each series of existing preferred units, voting as a separate class, we may not adopt any amendment to our partnership agreement that would have a material adverse effect on the powers, preferences, duties, or special rights of such series of existing preferred units. </w:t>
      </w:r>
    </w:p>
    <w:p>
      <w:pPr>
        <w:pStyle w:val="TextBody"/>
        <w:bidi w:val="0"/>
        <w:spacing w:before="240" w:after="0"/>
        <w:jc w:val="left"/>
        <w:rPr>
          <w:rFonts w:ascii="Times New Roman" w:hAnsi="Times New Roman"/>
          <w:sz w:val="20"/>
        </w:rPr>
      </w:pPr>
      <w:r>
        <w:rPr>
          <w:rFonts w:ascii="Times New Roman" w:hAnsi="Times New Roman"/>
          <w:sz w:val="20"/>
        </w:rPr>
        <w:t xml:space="preserve">In addition, unless we have received the affirmative vote or consent of the holders of at least two-thirds of the outstanding existing preferred units, voting as a class together with holders of any other parity securities upon which like voting rights have been conferred and are exercisable, we may not (i) create or issue any parity securities (including any additional existing preferred units) if the cumulative distributions payable on then outstanding existing preferred units (or parity securities, if applicable) are in arrears, or (ii) create or issue any senior securities. </w:t>
      </w:r>
    </w:p>
    <w:p>
      <w:pPr>
        <w:pStyle w:val="TextBody"/>
        <w:bidi w:val="0"/>
        <w:spacing w:before="240" w:after="0"/>
        <w:jc w:val="left"/>
        <w:rPr>
          <w:rFonts w:ascii="Times New Roman" w:hAnsi="Times New Roman"/>
          <w:sz w:val="20"/>
        </w:rPr>
      </w:pPr>
      <w:r>
        <w:rPr>
          <w:rFonts w:ascii="Times New Roman" w:hAnsi="Times New Roman"/>
          <w:sz w:val="20"/>
        </w:rPr>
        <w:t xml:space="preserve">On any matter on which the holders of the existing preferred units are entitled to vote as a class, such holders will be entitled to one vote per existing preferred unit.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of Units </w:t>
      </w:r>
    </w:p>
    <w:p>
      <w:pPr>
        <w:pStyle w:val="TextBody"/>
        <w:bidi w:val="0"/>
        <w:spacing w:before="120" w:after="0"/>
        <w:jc w:val="left"/>
        <w:rPr>
          <w:rFonts w:ascii="Times New Roman" w:hAnsi="Times New Roman"/>
          <w:sz w:val="20"/>
        </w:rPr>
      </w:pPr>
      <w:r>
        <w:rPr>
          <w:rFonts w:ascii="Times New Roman" w:hAnsi="Times New Roman"/>
          <w:sz w:val="20"/>
        </w:rPr>
        <w:t xml:space="preserve">There is no restriction on the transfer of the existing preferred units other than restrictions and conditions applicable to transfers of any limited partner interests under our partnership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Preemptive Rights </w:t>
      </w:r>
    </w:p>
    <w:p>
      <w:pPr>
        <w:pStyle w:val="TextBody"/>
        <w:bidi w:val="0"/>
        <w:spacing w:before="120" w:after="0"/>
        <w:jc w:val="left"/>
        <w:rPr>
          <w:rFonts w:ascii="Times New Roman" w:hAnsi="Times New Roman"/>
          <w:sz w:val="20"/>
        </w:rPr>
      </w:pPr>
      <w:r>
        <w:rPr>
          <w:rFonts w:ascii="Times New Roman" w:hAnsi="Times New Roman"/>
          <w:sz w:val="20"/>
        </w:rPr>
        <w:t xml:space="preserve">No holder of existing preferred units has any preemptive, preferential or other similar right with respect to the issuance of additional partnership securities under our partnership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Rights Upon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existing preferred units do not have any specific rights or protections upon a change of control at ET. </w:t>
      </w:r>
    </w:p>
    <w:p>
      <w:pPr>
        <w:pStyle w:val="TextBody"/>
        <w:bidi w:val="0"/>
        <w:spacing w:before="360" w:after="0"/>
        <w:jc w:val="left"/>
        <w:rPr>
          <w:rFonts w:ascii="Times New Roman" w:hAnsi="Times New Roman"/>
          <w:b/>
          <w:sz w:val="20"/>
        </w:rPr>
      </w:pPr>
      <w:r>
        <w:rPr>
          <w:rFonts w:ascii="Times New Roman" w:hAnsi="Times New Roman"/>
          <w:b/>
          <w:sz w:val="20"/>
        </w:rPr>
        <w:t xml:space="preserve">Sinking Fund </w:t>
      </w:r>
    </w:p>
    <w:p>
      <w:pPr>
        <w:pStyle w:val="TextBody"/>
        <w:bidi w:val="0"/>
        <w:spacing w:before="120" w:after="0"/>
        <w:jc w:val="left"/>
        <w:rPr>
          <w:rFonts w:ascii="Times New Roman" w:hAnsi="Times New Roman"/>
          <w:sz w:val="20"/>
        </w:rPr>
      </w:pPr>
      <w:r>
        <w:rPr>
          <w:rFonts w:ascii="Times New Roman" w:hAnsi="Times New Roman"/>
          <w:sz w:val="20"/>
        </w:rPr>
        <w:t xml:space="preserve">The existing preferred units do not have the benefit of any sinking fund.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77574_11"/>
      <w:bookmarkEnd w:id="25"/>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dated December 14, 2022 between us, as issuer, and U.S. Bank National Association, as trustee (as amended or supplemented, the “indenture”). We have summarized select portions of the indenture below. The summary is not complete. The indenture has been filed as Exhibit 4.1 to our Current Report on Form 8-K filed with the SEC on December 14, 2022, and is incorporated into the registration statement of which this prospectus forms a part as Exhibit 4.1 to such registration statement, and you should read the indenture for provisions that may be important to you. Capitalized terms used in the summary and not defined herein have the meanings specified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or purchase the debt securities pursuant to any sinking fund or analogous provisions or at the option of a holder of debt securities and the period or periods within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the price or prices at which and in the terms and conditions upon which securities of the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premium and interest on the debt securities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direct or indirect subsidiaries will guarantee the debt securities of that series, including the terms of subordination, if any, of such guarantees.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The Subsidiary Guarantees </w:t>
      </w:r>
    </w:p>
    <w:p>
      <w:pPr>
        <w:pStyle w:val="TextBody"/>
        <w:bidi w:val="0"/>
        <w:spacing w:before="120" w:after="0"/>
        <w:jc w:val="left"/>
        <w:rPr>
          <w:rFonts w:ascii="Times New Roman" w:hAnsi="Times New Roman"/>
          <w:sz w:val="20"/>
        </w:rPr>
      </w:pPr>
      <w:r>
        <w:rPr>
          <w:rFonts w:ascii="Times New Roman" w:hAnsi="Times New Roman"/>
          <w:sz w:val="20"/>
        </w:rPr>
        <w:t xml:space="preserve">Our payment obligations under any series of debt securities may be jointly and severally, fully and unconditionally guaranteed by one or more Subsidiary Guarantors. If a series of debt securities are so guaranteed, the Subsidiary Guarantors will execute a notation of guarantee as further evidence of their guarantee. The applicable prospectus supplement will describe the terms of any guarantee by the Subsidiary Guarantors. If a series of debt securities is guaranteed by the Subsidiary Guarantors and is designated as subordinate to our Senior Indebtedness, then the guarantees by the Subsidiary Guarantors will be subordinated to the Senior Indebtedness of the Subsidiary Guarantors to substantially the same extent as the series is subordinated to our Senior Indebtedness. Please read “—Subordination.”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before="240" w:after="0"/>
        <w:jc w:val="left"/>
        <w:rPr>
          <w:rFonts w:ascii="Times New Roman" w:hAnsi="Times New Roman"/>
          <w:sz w:val="20"/>
        </w:rPr>
      </w:pPr>
      <w:r>
        <w:rPr>
          <w:rFonts w:ascii="Times New Roman" w:hAnsi="Times New Roman"/>
          <w:i/>
          <w:sz w:val="20"/>
        </w:rPr>
        <w:t>Certificated Debt Securities</w:t>
      </w:r>
      <w:r>
        <w:rPr>
          <w:rFonts w:ascii="Times New Roman" w:hAnsi="Times New Roman"/>
          <w:sz w:val="20"/>
        </w:rPr>
        <w:t xml:space="preserve">. 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before="240" w:after="0"/>
        <w:jc w:val="left"/>
        <w:rPr>
          <w:rFonts w:ascii="Times New Roman" w:hAnsi="Times New Roman"/>
          <w:sz w:val="20"/>
        </w:rPr>
      </w:pPr>
      <w:r>
        <w:rPr>
          <w:rFonts w:ascii="Times New Roman" w:hAnsi="Times New Roman"/>
          <w:i/>
          <w:sz w:val="20"/>
        </w:rPr>
        <w:t>Global Debt Securities and Book-Entry System</w:t>
      </w:r>
      <w:r>
        <w:rPr>
          <w:rFonts w:ascii="Times New Roman" w:hAnsi="Times New Roman"/>
          <w:sz w:val="20"/>
        </w:rPr>
        <w:t xml:space="preserve">. Each global debt security representing book-entry debt securities will be deposited with, or on behalf of, the Depositary, and registered in the name of the Depositary or a nominee of the Depositary. Please see “Global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A series of debt securities may contain financial and other covenants. The applicable prospectus supplement will contain a description of any such covenants that are added to the indenture specifically for the benefit of holders of a particular series.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ET shall not, in a transaction or series of transactions, consolidate with or merge into any Person or sell, lease, convey, transfer or otherwise dispose of all or substantially all of its assets to any Person unless: </w:t>
      </w:r>
    </w:p>
    <w:p>
      <w:pPr>
        <w:pStyle w:val="TextBody"/>
        <w:bidi w:val="0"/>
        <w:spacing w:before="0" w:after="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 formed by or resulting from any such consolidation or merger or to which such assets have been sold, leased, conveyed, transferred or otherwise disposed of (the “successor”) is ET or expressly assumes by supplemental indenture all of ET’s obligations and liabilities under the indenture and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successor is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or series of transactions, no Default or Event of Default has occurred and is continuing under such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successor will be substituted for ET in such indenture with the same effect as if it had been an original party to such indenture. Thereafter, the successor may exercise the rights and powers of ET under such indenture. Each of the indentures will provide that if ET conveys or transfers all or substantially all of its assets, it will be released from all liabilities and obligations under such indenture and under the notes issued thereunder, except that no such release will occur in the case of a lease of all or substantially all of its assets. </w:t>
      </w:r>
    </w:p>
    <w:p>
      <w:pPr>
        <w:pStyle w:val="TextBody"/>
        <w:bidi w:val="0"/>
        <w:spacing w:before="120" w:after="0"/>
        <w:jc w:val="left"/>
        <w:rPr/>
      </w:pPr>
      <w:r>
        <w:rPr/>
        <w:t>“</w:t>
      </w:r>
      <w:r>
        <w:rPr>
          <w:rFonts w:ascii="Times New Roman" w:hAnsi="Times New Roman"/>
          <w:sz w:val="20"/>
        </w:rPr>
        <w:t xml:space="preserve">Person” means any individual, corporation, partnership, limited liability company, joint venture, incorporated or unincorporated association, joint-stock company, trust, unincorporated organization, government or any agency or political subdivision thereof or any other entity. </w:t>
      </w:r>
    </w:p>
    <w:p>
      <w:pPr>
        <w:pStyle w:val="TextBody"/>
        <w:bidi w:val="0"/>
        <w:spacing w:before="24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“Event of Default” means with respect to any series of debt securities, any of the following: </w:t>
      </w:r>
    </w:p>
    <w:p>
      <w:pPr>
        <w:pStyle w:val="TextBody"/>
        <w:bidi w:val="0"/>
        <w:spacing w:before="0" w:after="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on or any additional amounts with respect to any debt security of that series when it becomes due and payable and such default continues for a period of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or premium, if any, on any debt securities of that series as and when the same shall become due and payable, whether at stated maturity, upon redemption, by declaration, upon required repurchase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sinking fund payment with respect to any debt securities of that series as and when the same shall become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or if the series of debt securities is guaranteed by any Subsidiary Guarantor, by such Subsidiary Guarantor,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us, or, if the series of debt securities is guaranteed by any Subsidiary Guarantor, of such Subsidiary Guarantor;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series of debt securities is guaranteed by any Subsidiary Guarantor, any of the subsidiary guarantees;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ceases to be in full force and effect, except as otherwise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declared null and void in a judicial proceeding;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Subsidiary Guarantor denies or disaffirms its obligations under the indenture or its guarantee;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trustee may refuse to perform any duty or exercise any of its rights or powers under the indenture unless the trustee receives security or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indemnity or security satisfactory to the trustee, to the trustee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has failed to institute such proceeding within 90 calendar days of such notice;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or prior to such 90-day period, the trustee has not received from the holders of a majority in outstanding principal amount of the debt securities of such series a direction inconsistent with such request.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If a Default or Event of Default occurs and is continuing with respect to the debt securities of any series and if it is known to a responsible officer of the trustee, the trustee shall mail to each holder of the debt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amend or supplement the indenture or the debt securities of any series without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covenants in the indenture described above under the heading “—Consolidation, Merger and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Subsidiary Guarantor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secure the debt securities and/or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debt securities of any series or secure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surrender any of our rights or powers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or events of default for the benefit of the holders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applicable procedures of the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of 1939, as amended (the “Trust Indenture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“IRS”),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we have received from, or there has been published by, the IRS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provide that we may satisfy and discharge the indenture as it relates to any series of debt securities if the debt securities of such series have matured or will mature within one year by reason of a redemption or otherwise, if certain requirements set forth in the indenture are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w:t>
      </w:r>
    </w:p>
    <w:p>
      <w:pPr>
        <w:pStyle w:val="TextBody"/>
        <w:bidi w:val="0"/>
        <w:spacing w:before="120" w:after="0"/>
        <w:jc w:val="left"/>
        <w:rPr>
          <w:rFonts w:ascii="Times New Roman" w:hAnsi="Times New Roman"/>
          <w:sz w:val="20"/>
        </w:rPr>
      </w:pPr>
      <w:r>
        <w:rPr>
          <w:rFonts w:ascii="Times New Roman" w:hAnsi="Times New Roman"/>
          <w:sz w:val="20"/>
        </w:rPr>
        <w:t xml:space="preserve">None of the past, present or future partners, incorporators, managers, members, directors, officers, employees, unitholders of us or our general partner, as such, will be liable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our obligations or the obligations of any Subsidiary Guarantors under the debt securities, the indenture or the guarantees;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claim based on, in respect of, or by reason of, such obligations or their creation.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accepting a debt security, each holder will be deemed to have waived and released all such liability. This waiver and release is part of the consideration for our issuance of the debt securities. This waiver may not be effective, however, to waive liabilities under the federal securities laws, and it is the view of the SEC that such a waiver is against public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The applicable prospectus supplement will describe the terms, if any, on which a series of debt securities may be convertible into or exchangeable for our common units. These terms will include provisions as to whether conversion or exchange is mandatory, at the option of the holder or at our option. These provisions may allow or require the number of shares of common units to be received by holders of such series of debt securities to be adjusted.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Subordination </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of a series may be subordinated to our “Senior Indebtedness,” which we define generally to include any obligation created or assumed by us for the repayment of borrowed money and any guarantee thereof, whether outstanding or hereafter issued, unless, by the terms of the instrument creating or evidencing such obligation, it is provided that such obligation is subordinate or not superior in right of payment to the debt securities or to other obligations that are pari passu with or subordinated to the debt securities. Subordinated debt securities and any related guarantees will be subordinate in right of payment, to the extent and in the manner set forth in the indenture and the prospectus supplement relating to such series, to the prior payment of all of our indebtedness and that of, if applicable, any Subsidiary Guarantor that is designated as “Senior Indebtedness” with respect to the series.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debt securities, will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77574_12"/>
      <w:bookmarkEnd w:id="26"/>
      <w:r>
        <w:rPr>
          <w:rFonts w:ascii="Times New Roman" w:hAnsi="Times New Roman"/>
          <w:b/>
          <w:sz w:val="20"/>
        </w:rPr>
        <w:t xml:space="preserve">GLOBAL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pursuant to the provisions of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noted above, beneficial owners of a particular series of securities generally will not receive certificates representing their ownership interests in those securities. However,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in our sole discretion, not to have such securities represented by one or more global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with respect to such series of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p>
      <w:pPr>
        <w:pStyle w:val="TextBody"/>
        <w:bidi w:val="0"/>
        <w:spacing w:before="240" w:after="0"/>
        <w:jc w:val="left"/>
        <w:rPr>
          <w:rFonts w:ascii="Times New Roman" w:hAnsi="Times New Roman"/>
          <w:sz w:val="20"/>
        </w:rPr>
      </w:pPr>
      <w:r>
        <w:rPr>
          <w:rFonts w:ascii="Times New Roman" w:hAnsi="Times New Roman"/>
          <w:b/>
          <w:i/>
          <w:sz w:val="20"/>
        </w:rPr>
        <w:t>Euroclear and Clearstream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77574_13"/>
      <w:bookmarkEnd w:id="2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offered securities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identify the specific plan of distribution, including any underwriters, dealers, agents or direct purchasers and their compensation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77574_14"/>
      <w:bookmarkEnd w:id="28"/>
      <w:r>
        <w:rPr>
          <w:rFonts w:ascii="Times New Roman" w:hAnsi="Times New Roman"/>
          <w:b/>
          <w:sz w:val="20"/>
        </w:rPr>
        <w:t xml:space="preserve">MATERIAL U.S. FEDERAL INCOME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is a summary of the material U.S. federal income tax consequences that may be relevant to prospective common unitholders who are individual citizens or residents of the United States and, unless otherwise noted in the following discussion, is the opinion of Latham &amp; Watkins LLP, counsel to our general partner and us, insofar as it relates to legal conclusions with respect to matters of U.S. federal income tax law. A description of the material U.S. federal income tax consequences of the acquisition, ownership and disposition of preferred units and debt securities will be set forth in a prospectus supplement relating to the offering of such units or securities. This section is based upon current provisions of the Internal Revenue Code of 1986, as amended (the “Code”), existing and proposed Treasury regulations promulgated under the Code (the “Treasury Regulations”) and current administrative rulings and court decisions, all of which are subject to change. Later changes in these authorities may cause the tax consequences to vary substantially from the consequences described below. Unless the context otherwise requires, references in this section to “we”, “us” or “our” are references to Energy Transfer LP and our operating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does not comment on all federal income tax matters affecting us or our common unitholders and does not describe the application of the alternative minimum tax that may be applicable to certain Common unitholders. Moreover, the discussion focuses on common unitholders who are individual citizens or residents of the United States and has only limited application to corporations, estates, entities treated as partnerships for U.S. federal income tax purposes, trusts, nonresident aliens, U.S. expatriates and former citizens or long-term residents of the United States or other unitholders subject to specialized tax treatment, such as banks, insurance companies and other financial institutions, tax-exempt institutions, foreign persons (including, without limitation, controlled foreign corporations, passive foreign investment companies and foreign persons eligible for the benefits of an applicable income tax treaty with the United States), individual retirement accounts (IRAs), real estate investment trusts (REITs) or mutual funds, dealers in securities or currencies, traders in securities, U.S. persons whose “functional currency” is not the U.S. dollar, persons holding their units as part of a “straddle,” “hedge,” “conversion transaction” or other risk reduction transaction, persons subject to special tax accounting rules as a result of any item of gross income with respect to our common units being taken into account in an applicable financial statement and persons deemed to sell their units under the constructive sale provisions of the Code. In addition, the discussion only comments, to a limited extent, on state, local and foreign tax consequences. Accordingly, we encourage each prospective common unitholder to consult his own tax advisor in analyzing the state, local and foreign tax consequences particular to him of the ownership or disposition of our common units and potential changes in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No ruling has been requested from the Internal Revenue Service (the “IRS”) regarding our characterization as a partnership for tax purposes. Instead, we will rely on opinions of Latham &amp; Watkins LLP. Unlike a ruling, an opinion of counsel represents only that counsel’s best legal judgment and does not bind the IRS or the courts. Accordingly, the opinions and statements made herein may not be sustained by a court if contested by the IRS. Any contest of this sort with the IRS may materially and adversely impact the market for our common units, including the prices at which our common units trade. In addition, the costs of any contest with the IRS, principally legal, accounting and related fees, will result in a reduction in cash available for distribution to our unitholders and our general partner and thus will be borne indirectly by our unitholders and our general partner. Furthermore, the tax treatment of us, or of an investment in us, may be significantly modified by future legislative or administrative changes or court decisions. Any modifications may or may not be retroactively applied. </w:t>
      </w:r>
    </w:p>
    <w:p>
      <w:pPr>
        <w:pStyle w:val="TextBody"/>
        <w:bidi w:val="0"/>
        <w:spacing w:before="240" w:after="0"/>
        <w:jc w:val="left"/>
        <w:rPr>
          <w:rFonts w:ascii="Times New Roman" w:hAnsi="Times New Roman"/>
          <w:sz w:val="20"/>
        </w:rPr>
      </w:pPr>
      <w:r>
        <w:rPr>
          <w:rFonts w:ascii="Times New Roman" w:hAnsi="Times New Roman"/>
          <w:sz w:val="20"/>
        </w:rPr>
        <w:t xml:space="preserve">All statements as to matters of U.S. federal income tax law and legal conclusions with respect thereto, but not as to factual matters, contained in this section, unless otherwise noted, are the opinion of Latham &amp; Watkins LLP and are based on the accuracy of the representations made by us and our general partner.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above, and for the reasons described below, Latham &amp; Watkins LLP has not rendered an opinion with respect to the following specific federal income tax issues: (i) the treatment of a unitholder whose common units are loaned to a short seller to cover a short sale of common units (please read “—Tax Consequences of Unit Ownership—Treatment of Short Sales”); (ii) whether all aspects of our monthly method for allocating taxable income and losses is permitted by existing Treasury Regulations (please read “—Disposition of Common Units—Allocations Between Transferors and Transferees”); and (iii) whether our method for taking into account Section 743 adjustments is sustainable in certain cases (please read “—Tax Consequences of Unit Ownership—Section 754 Election” and “—Uniformity of Units”). </w:t>
      </w:r>
    </w:p>
    <w:p>
      <w:pPr>
        <w:pStyle w:val="TextBody"/>
        <w:bidi w:val="0"/>
        <w:spacing w:before="360" w:after="0"/>
        <w:jc w:val="left"/>
        <w:rPr>
          <w:rFonts w:ascii="Times New Roman" w:hAnsi="Times New Roman"/>
          <w:b/>
          <w:sz w:val="20"/>
        </w:rPr>
      </w:pPr>
      <w:r>
        <w:rPr>
          <w:rFonts w:ascii="Times New Roman" w:hAnsi="Times New Roman"/>
          <w:b/>
          <w:sz w:val="20"/>
        </w:rPr>
        <w:t xml:space="preserve">Partnership Status </w:t>
      </w:r>
    </w:p>
    <w:p>
      <w:pPr>
        <w:pStyle w:val="TextBody"/>
        <w:bidi w:val="0"/>
        <w:spacing w:before="120" w:after="0"/>
        <w:jc w:val="left"/>
        <w:rPr>
          <w:rFonts w:ascii="Times New Roman" w:hAnsi="Times New Roman"/>
          <w:sz w:val="20"/>
        </w:rPr>
      </w:pPr>
      <w:r>
        <w:rPr>
          <w:rFonts w:ascii="Times New Roman" w:hAnsi="Times New Roman"/>
          <w:sz w:val="20"/>
        </w:rPr>
        <w:t xml:space="preserve">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to the partnership or the partner unless the amount of cash distributed to him is in excess of the partner’s adjusted basis in his partnership interest. Section 7704 of the Code provides that publicly traded partnerships will, as a general rule, be taxed as corporations. However, an exception, referred to as the “Qualifying Income Exception,” exists with respect to publicly traded partnerships of which 90% or more of the gross income for every taxable year consists of “qualifying income.” Qualifying income includes income and gains derived from the transportation and processing of certain minerals and natural resources, including crude oil, natural gas and other products of a type that are produced in a petroleum refinery or natural gas processing plant, the retail and wholesale marketing of propane, the transportation of propane and natural gas liquids, certain related hedging activities, certain activities that are intrinsic to other qualifying activities, and our allocable share of our subsidiaries’ income from these sources. Other types of qualifying income include interest (other than from a financial business), dividends, real property rents, gains from the sale of real property and gains from the sale or other disposition of capital assets held for the production of income that otherwise constitutes qualifying income. We estimate that less than 3% of our current gross income is not qualifying income; however, this estimate could change from time to time. Based upon and subject to this estimate, the factual representations made by us and our general partner and a review of the applicable legal authorities, Latham &amp; Watkins LLP is of the opinion that at least 90% of our current gross income constitutes qualifying income. The portion of our income that is qualifying income may change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IRS has made no determination as to our status or the status of our operating subsidiaries for federal income tax purposes. Instead, we will rely on the opinion of Latham &amp; Watkins LLP on such matters. It is the opinion of Latham &amp; Watkins LLP that, based upon the Code, the Treasury Regulations, published revenue rulings and court decisions and the representations described below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classified as a partnership for federal income tax purposes;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operating subsidiaries, except as otherwise identified to Latham &amp; Watkins LLP, will be disregarded as an entity separate from us or will be treated as a partnership for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rendering its opinion, Latham &amp; Watkins LLP has relied on factual representations made by us and our general partner. The representations made by us and our general partner upon which Latham &amp; Watkins LLP has relied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we nor any of our partnership or limited liability company subsidiaries, other than those identified as such to Latham &amp; Watkins LLP, have elected or will elect to be treated, or is otherwise treated, as a corporation for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each taxable year, more than 90% of our gross income has been and will be income of the type that Latham &amp; Watkins LLP has opined or will opine is “qualifying income” within the meaning of Section 7704(d) of the Code;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commodity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of a type that Latham &amp; Watkins LLP has opined or will opine result in qualifying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these representations have been true in the past, are true as of the date hereof and expect that these representations will continue to be true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deemed contribution and liquidation should be tax-free to unitholders and us so long as we, at that time, do not have liabilities in excess of the tax basis of our assets. Thereafter, we would be treated as a corporation for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If we were treated as an association taxable as a corporation in any taxable year, either as a result of a failure to meet the Qualifying Income Exception or otherwise, our items of income, gain, loss and deduction would be reflected only on our tax return rather than being passed through to our unitholders, and our net income would be taxed to us at corporate rates. In addition, any distribution made to a unitholder would be treated as taxable dividend income, to the extent of our current and accumulated earnings and profits, or, in the absence of earnings and profits, a nontaxable return of capital, to the extent of the unitholder’s tax basis in his common units, or taxable capital gain, after the unitholder’s tax basis in his common units is reduced to zero. Accordingly, taxation as a corporation would result in a material reduction in a unitholder’s cash flow and after-tax return and thus would likely result in a substantial reduction of the value of the units. </w:t>
      </w:r>
    </w:p>
    <w:p>
      <w:pPr>
        <w:pStyle w:val="TextBody"/>
        <w:bidi w:val="0"/>
        <w:spacing w:before="240" w:after="0"/>
        <w:jc w:val="left"/>
        <w:rPr>
          <w:rFonts w:ascii="Times New Roman" w:hAnsi="Times New Roman"/>
          <w:b/>
          <w:sz w:val="20"/>
        </w:rPr>
      </w:pPr>
      <w:r>
        <w:rPr>
          <w:rFonts w:ascii="Times New Roman" w:hAnsi="Times New Roman"/>
          <w:b/>
          <w:sz w:val="20"/>
        </w:rPr>
        <w:t xml:space="preserve">The discussion below is based on Latham &amp; Watkins LLP’s opinion that we will be classified as a partnership for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Limited Partner Status </w:t>
      </w:r>
    </w:p>
    <w:p>
      <w:pPr>
        <w:pStyle w:val="TextBody"/>
        <w:bidi w:val="0"/>
        <w:spacing w:before="120" w:after="0"/>
        <w:jc w:val="left"/>
        <w:rPr>
          <w:rFonts w:ascii="Times New Roman" w:hAnsi="Times New Roman"/>
          <w:sz w:val="20"/>
        </w:rPr>
      </w:pPr>
      <w:r>
        <w:rPr>
          <w:rFonts w:ascii="Times New Roman" w:hAnsi="Times New Roman"/>
          <w:sz w:val="20"/>
        </w:rPr>
        <w:t xml:space="preserve">Common unitholders of Energy Transfer LP will be treated as partners of Energy Transfer LP for federal income tax purposes. Also, unitholders whose common units are held in street name or by a nominee and who have the right to direct the nominee in the exercise of all substantive rights attendant to the ownership of their common units will be treated as partners of Energy Transfer LP for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A beneficial owner of our common units whose common units have been transferred to a short seller to complete a short sale would appear to lose his status as a partner with respect to those units for federal income tax purposes. Please read “—Tax Consequences of Unit Ownership—Treatment of Short Sales.” </w:t>
      </w:r>
    </w:p>
    <w:p>
      <w:pPr>
        <w:pStyle w:val="TextBody"/>
        <w:bidi w:val="0"/>
        <w:spacing w:before="240" w:after="0"/>
        <w:jc w:val="left"/>
        <w:rPr>
          <w:rFonts w:ascii="Times New Roman" w:hAnsi="Times New Roman"/>
          <w:sz w:val="20"/>
        </w:rPr>
      </w:pPr>
      <w:r>
        <w:rPr>
          <w:rFonts w:ascii="Times New Roman" w:hAnsi="Times New Roman"/>
          <w:sz w:val="20"/>
        </w:rPr>
        <w:t xml:space="preserve">Income, gains, losses or deductions would not appear to be reportable by a common unitholder who is not a partner for federal income tax purposes, and any cash distributions received by a unitholder who is not a partner for federal income tax purposes would therefore appear to be fully taxable as ordinary income. These holders are urged to consult their tax advisors with respect to the tax consequences to them of holding our common units. The references to “unitholders” in the discussion that follows are to persons who are treated as partners in Energy Transfer LP for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of Unit Ownership </w:t>
      </w:r>
    </w:p>
    <w:p>
      <w:pPr>
        <w:pStyle w:val="TextBody"/>
        <w:bidi w:val="0"/>
        <w:spacing w:before="120" w:after="0"/>
        <w:jc w:val="left"/>
        <w:rPr>
          <w:rFonts w:ascii="Times New Roman" w:hAnsi="Times New Roman"/>
          <w:b/>
          <w:i/>
          <w:sz w:val="20"/>
        </w:rPr>
      </w:pPr>
      <w:r>
        <w:rPr>
          <w:rFonts w:ascii="Times New Roman" w:hAnsi="Times New Roman"/>
          <w:b/>
          <w:i/>
          <w:sz w:val="20"/>
        </w:rPr>
        <w:t xml:space="preserve">Flow-Through of Taxable Income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under “—Entity-Level Collections,” we will not pay any federal income tax. Instead, each common unitholder will be required to report on his income tax return his share of our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gains, losses and deductions without regard to whether we make cash distributions to him. Consequently, we may allocate income to a common unitholder even if he has not received a cash distribution. Each unitholder will be required to include in income his allocable share of our income, gains, losses and deductions for our taxable year ending with or within his taxable year. Our taxable year ends on December 31.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Distributions </w:t>
      </w:r>
    </w:p>
    <w:p>
      <w:pPr>
        <w:pStyle w:val="TextBody"/>
        <w:bidi w:val="0"/>
        <w:spacing w:before="120" w:after="0"/>
        <w:jc w:val="left"/>
        <w:rPr>
          <w:rFonts w:ascii="Times New Roman" w:hAnsi="Times New Roman"/>
          <w:sz w:val="20"/>
        </w:rPr>
      </w:pPr>
      <w:r>
        <w:rPr>
          <w:rFonts w:ascii="Times New Roman" w:hAnsi="Times New Roman"/>
          <w:sz w:val="20"/>
        </w:rPr>
        <w:t xml:space="preserve">Distributions by us to a common unitholder generally will not be taxable to the unitholder for federal income tax purposes, except to the extent the amount of any such cash distribution exceeds his tax basis in his common units immediately before the distribution. Our cash distributions in excess of a unitholder’s tax basis generally will be considered to be gain from the sale or exchange of the common units, taxable in accordance with the rules described under “—Disposition of Common Units.” Any reduction in a unitholder’s share of our liabilities for which no partner, including the general partner, bears the economic risk of loss, known as “nonrecourse liabilities,” will be treated as a distribution by us of cash to that unitholder. To the extent our distributions cause a unitholder’s “at-risk” amount to be less than zero at the end of any taxable year, he must recapture any losses deducted in previous years. Please read “—Limitations on Deductibility of Losses.” </w:t>
      </w:r>
    </w:p>
    <w:p>
      <w:pPr>
        <w:pStyle w:val="TextBody"/>
        <w:bidi w:val="0"/>
        <w:spacing w:before="240" w:after="0"/>
        <w:jc w:val="left"/>
        <w:rPr>
          <w:rFonts w:ascii="Times New Roman" w:hAnsi="Times New Roman"/>
          <w:sz w:val="20"/>
        </w:rPr>
      </w:pPr>
      <w:r>
        <w:rPr>
          <w:rFonts w:ascii="Times New Roman" w:hAnsi="Times New Roman"/>
          <w:sz w:val="20"/>
        </w:rPr>
        <w:t xml:space="preserve">A decrease in a unitholder’s percentage interest in us because of our issuance of additional common units will decrease his share of our nonrecourse liabilities, and thus will result in a corresponding deemed distribution of cash. This deemed distribution may constitute a non-pro rata distribution. A non-pro rata distribution of money or property may result in ordinary income to a unitholder, regardless of his tax basis in his common units, if the distribution reduces the unitholder’s share of our “unrealized receivables,” including depreciation, recapture and/or substantially appreciated “inventory items,” each as defined in the Code, and collectively, “Section 751 Assets.” To that extent, a unitholder will be treated as having been distributed his proportionate share of the Section 751 Assets and then having exchanged those assets with us in return for the non-pro rata portion of the actual distribution made to him. This latter deemed exchange will generally result in a unitholder’s realization of ordinary income, which will equal the excess of (i) the non-pro rata portion of that distribution over (ii) the unitholder’s tax basis (often zero) for the share of Section 751 Assets deemed relinquished in the exchange.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Units </w:t>
      </w:r>
    </w:p>
    <w:p>
      <w:pPr>
        <w:pStyle w:val="TextBody"/>
        <w:bidi w:val="0"/>
        <w:spacing w:before="120" w:after="0"/>
        <w:jc w:val="left"/>
        <w:rPr>
          <w:rFonts w:ascii="Times New Roman" w:hAnsi="Times New Roman"/>
          <w:sz w:val="20"/>
        </w:rPr>
      </w:pPr>
      <w:r>
        <w:rPr>
          <w:rFonts w:ascii="Times New Roman" w:hAnsi="Times New Roman"/>
          <w:sz w:val="20"/>
        </w:rPr>
        <w:t xml:space="preserve">A unitholder’s initial tax basis for his common units will be the amount he paid for the common units plus his share of our nonrecourse liabilities. That basis will be increased by his share of our income, by any increases in his share of our nonrecourse liabilities and, on the disposition of a common unit, by his share of certain items related to business interest not yet deductible by him due to applicable limitations. Please read “—Limitations on Interest Deductions.” That basis will be decreased, but not below zero, by distributions from us, by the unitholder’s share of our losses, by any decreases in his share of our nonrecourse liabilities, by his share of our excess business interest (generally, the excess of our business interest over the amount that is deductible) and by his share of our expenditures that are not deductible in computing taxable income and are not required to be capitalized. A unitholder will have no share of our debt that is recourse to our general partner to the extent of the general partner’s “net value” as defined in Treasury Regulations promulgated under Section 752 of the Code, but will have a share, generally based on his share of profits, of our nonrecourse liabilities. Please read “—Disposition of Common Units—Recognition of Gain or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Deductibility of Losses </w:t>
      </w:r>
    </w:p>
    <w:p>
      <w:pPr>
        <w:pStyle w:val="TextBody"/>
        <w:bidi w:val="0"/>
        <w:spacing w:before="120" w:after="0"/>
        <w:jc w:val="left"/>
        <w:rPr>
          <w:rFonts w:ascii="Times New Roman" w:hAnsi="Times New Roman"/>
          <w:sz w:val="20"/>
        </w:rPr>
      </w:pPr>
      <w:r>
        <w:rPr>
          <w:rFonts w:ascii="Times New Roman" w:hAnsi="Times New Roman"/>
          <w:sz w:val="20"/>
        </w:rPr>
        <w:t xml:space="preserve">The deduction by a unitholder of his share of our losses will be limited to the tax basis in his common units and, in the case of an individual unitholder, estate, trust, or corporate unitholder (if more than 50% of the value of the corporate unitholder’s stock is owned directly or indirectly by or for five or fewer individuals or some tax-exempt organizations), to the amount for which the unitholder is considered to be “at risk” with respect to our activities, if that is less than his tax basis. A common unitholder subject to these limitations must recapture losses deducted in previous years to the extent that distributions cause his at-risk amount to be less than zero at the 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any taxable year. Losses disallowed to a unitholder or recaptured as a result of these limitations will carry forward and will be allowable as a deduction to the extent that his at-risk amount is subsequently increased, provided such losses do not exceed such common unitholder’s tax basis in his common units. Upon the taxable disposition of a common unit, any gain recognized by a unitholder can be offset by losses that were previously suspended by the at-risk limitation but may not be offset by losses suspended by the basis limitation. Any loss previously suspended by the at-risk limitation in excess of that gain would no longer be utilizable. </w:t>
      </w:r>
    </w:p>
    <w:p>
      <w:pPr>
        <w:pStyle w:val="TextBody"/>
        <w:bidi w:val="0"/>
        <w:spacing w:before="240" w:after="0"/>
        <w:jc w:val="left"/>
        <w:rPr>
          <w:rFonts w:ascii="Times New Roman" w:hAnsi="Times New Roman"/>
          <w:sz w:val="20"/>
        </w:rPr>
      </w:pPr>
      <w:r>
        <w:rPr>
          <w:rFonts w:ascii="Times New Roman" w:hAnsi="Times New Roman"/>
          <w:sz w:val="20"/>
        </w:rPr>
        <w:t xml:space="preserve">In general, a unitholder will be at risk to the extent of the tax basis of his units, excluding any portion of that basis attributable to his share of our nonrecourse liabilities, reduced by (i) any portion of that basis representing amounts otherwise protected against loss because of a guarantee, stop loss agreement or other similar arrangement and (ii) any amount of money he borrows to acquire or hold his units, if the lender of those borrowed funds owns an interest in us, is related to the unitholder or can look only to the units for repayment. A unitholder’s at-risk amount will increase or decrease as the tax basis of the unitholder’s units increases or decreases, other than tax basis increases or decreases attributable to increases or decreases in his share of our nonrecourse liabilities.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basis and at-risk limitations on the deductibility of losses, the passive loss limitations generally provide that individuals, estates, trusts and some closely-held corporations and personal service corporations can deduct losses from passive activities, which are generally trade or business activities in which the taxpayer does not materially participate, only to the extent of the taxpayer’s income from those passive activities. The passive loss limitations are applied separately with respect to each publicly traded partnership. Consequently, any passive losses we generate will only be available to offset our passive income generated in the future and will not be available to offset income from other passive activities or investments, including our investments or a unitholder’s investments in other publicly traded partnerships, or the unitholder’s salary, active business or other income. Passive losses that are not deductible because they exceed a unitholder’s share of income we generate may be deducted in full when he disposes of his entire investment in us in a fully taxable transaction with an unrelated party. The passive loss limitations are applied after other applicable limitations on deductions, including the at-risk rules and the basis limitation. A unitholder’s share of our net income may be offset by any of our suspended passive losses, but it may not be offset by any other current or carryover losses from other passive activities, including those attributable to other publicly traded partnerships. </w:t>
      </w:r>
    </w:p>
    <w:p>
      <w:pPr>
        <w:pStyle w:val="TextBody"/>
        <w:bidi w:val="0"/>
        <w:spacing w:before="240" w:after="0"/>
        <w:jc w:val="left"/>
        <w:rPr>
          <w:rFonts w:ascii="Times New Roman" w:hAnsi="Times New Roman"/>
          <w:sz w:val="20"/>
        </w:rPr>
      </w:pPr>
      <w:r>
        <w:rPr>
          <w:rFonts w:ascii="Times New Roman" w:hAnsi="Times New Roman"/>
          <w:sz w:val="20"/>
        </w:rPr>
        <w:t xml:space="preserve">An additional loss limitation may apply to certain of our unitholders for taxable years beginning after December 31, 2020, and before January 1, 2029. A non-corporate unitholder will not be allowed to take a deduction for certain excess business losses in such taxable years. An excess business loss is the excess (if any) of a taxpayer’s aggregate deductions for the taxable year that are attributable to the trades or businesses of such taxpayer (determined without regard to the excess business loss limitation or any deduction allowable for net operating losses, qualified business income or capital losses) over the aggregate gross income or gain of such taxpayer for the taxable year that is attributable to such trades or businesses (subject to certain limitations in the case of capital gains) plus a threshold amount. The current threshold amount is equal to $305,000, or $610,000 for taxpayers filing a joint return, and the threshold amount is adjusted annually. Any losses disallowed in a taxable year due to the excess business loss limitation may be used by the applicable unitholder in the following taxable year if certain conditions are met. Unitholders to which this excess business loss limitation applies will take their allocable share of our items of income, gain, loss and deduction into account in determining this limitation. This excess business loss limitation will be applied to a non-corporate unitholder after the passive loss limitations and may limit such unitholders’ ability to utilize any losses we generate allocable to such unitholder that are not otherwise limited by the basis, at-risk and passive loss limitations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Interest Deductions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deduct interest paid or accrued on indebtedness properly allocable to a trade or business, “business interest,” may be limited in certain circumstances. Should our ability to deduct business interest be limited, the amount of taxable income allocated to our unitholders in the taxable year in which the limitation is in effect may increase. However, in certain circumstances, a unitholder may be able to utilize a portion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interest deduction subject to this limitation in future taxable years. Prospective unitholders should consult their tax advisors regarding the impact of this business interest deduction limitation on an investment in our common units.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deductibility of a non-corporate taxpayer’s “investment interest expense” is generally limited to the amount of that taxpayer’s “net investment income.” Investment interest expense includes: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on indebtedness properly allocable to property held for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interest expense attributed to portfolio income;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interest expense incurred to purchase or carry an interest in a passive activity to the extent attributable to portfolio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or (if applicable) qualified dividend income. The IRS has indicated that the net passive income earned by a publicly traded partnership will be treated as investment income to its unitholders. In addition, the unitholder’s share of our portfolio income will be treated as investment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Entity-Level Collections </w:t>
      </w:r>
    </w:p>
    <w:p>
      <w:pPr>
        <w:pStyle w:val="TextBody"/>
        <w:bidi w:val="0"/>
        <w:spacing w:before="120" w:after="0"/>
        <w:jc w:val="left"/>
        <w:rPr>
          <w:rFonts w:ascii="Times New Roman" w:hAnsi="Times New Roman"/>
          <w:sz w:val="20"/>
        </w:rPr>
      </w:pPr>
      <w:r>
        <w:rPr>
          <w:rFonts w:ascii="Times New Roman" w:hAnsi="Times New Roman"/>
          <w:sz w:val="20"/>
        </w:rPr>
        <w:t xml:space="preserve">If we are required or elect under applicable law to pay any federal, state, local or foreign income tax on behalf of any unitholder or our general partner or any former unitholder, we are authorized to pay those taxes from our funds. That payment, if made, will be treated as a distribution of cash to the unitholder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unitholder in which event the unitholder would be required to file a claim in order to obtain a credit or refund. </w:t>
      </w:r>
    </w:p>
    <w:p>
      <w:pPr>
        <w:pStyle w:val="TextBody"/>
        <w:bidi w:val="0"/>
        <w:spacing w:before="360" w:after="0"/>
        <w:jc w:val="left"/>
        <w:rPr>
          <w:rFonts w:ascii="Times New Roman" w:hAnsi="Times New Roman"/>
          <w:b/>
          <w:i/>
          <w:sz w:val="20"/>
        </w:rPr>
      </w:pPr>
      <w:r>
        <w:rPr>
          <w:rFonts w:ascii="Times New Roman" w:hAnsi="Times New Roman"/>
          <w:b/>
          <w:i/>
          <w:sz w:val="20"/>
        </w:rPr>
        <w:t xml:space="preserve">Allocation of Income, Gain, Loss and Deduction </w:t>
      </w:r>
    </w:p>
    <w:p>
      <w:pPr>
        <w:pStyle w:val="TextBody"/>
        <w:bidi w:val="0"/>
        <w:spacing w:before="120" w:after="0"/>
        <w:jc w:val="left"/>
        <w:rPr>
          <w:rFonts w:ascii="Times New Roman" w:hAnsi="Times New Roman"/>
          <w:sz w:val="20"/>
        </w:rPr>
      </w:pPr>
      <w:r>
        <w:rPr>
          <w:rFonts w:ascii="Times New Roman" w:hAnsi="Times New Roman"/>
          <w:sz w:val="20"/>
        </w:rPr>
        <w:t xml:space="preserve">After giving effect to special allocation provisions with respect to our other classes of units, if we have a net profit, our items of income, gain, loss and deduction will be allocated among our general partner and the common unitholders in accordance with their percentage interests in us. If we have a net loss, that loss will be allocated to all common unitholders in accordance with their percentage interests in us to the extent of their positive capital accounts, as adjusted for certain items in accordance with applicable Treasury Regulations, and to our general partner in accordance with its percentage interest in us. </w:t>
      </w:r>
    </w:p>
    <w:p>
      <w:pPr>
        <w:pStyle w:val="TextBody"/>
        <w:bidi w:val="0"/>
        <w:spacing w:before="240" w:after="0"/>
        <w:jc w:val="left"/>
        <w:rPr>
          <w:rFonts w:ascii="Times New Roman" w:hAnsi="Times New Roman"/>
          <w:sz w:val="20"/>
        </w:rPr>
      </w:pPr>
      <w:r>
        <w:rPr>
          <w:rFonts w:ascii="Times New Roman" w:hAnsi="Times New Roman"/>
          <w:sz w:val="20"/>
        </w:rPr>
        <w:t xml:space="preserve">Specified items of our income, gain, loss and deduction will be allocated to account for any difference between the tax basis and fair market value of any property contributed to us that exists at the time of such contribution, referred to in this discussion as the “Contributed Property.” The effect of these allocations, referred to as Section 704(c) Allocations, to a unitholder purchasing common units from us in an offering will be essentially the same as if the tax bases of our assets were equal to their fair market values at the time of such offering. In the event we issue additional common units or engage in certain other transactions in the future, we will make “Reverse Section 704(c) Allocations,” similar to the Section 704(c) Allocations described above, to all of our unitholders immediately prior to such issuance or other transactions to account for the difference between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“book” basis for purposes of maintaining capital accounts and the fair market value of all property held by us at the time of such issuance or future transaction. In addition, items of recapture income will be allocated to the extent possible to the unitholder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(subject to certain adjustments), if negative capital accounts (subject to certain adjustments) nevertheless result, items of our income and gain will be allocated in an amount and manner sufficient to eliminate such negative balance as quickly as possible. </w:t>
      </w:r>
    </w:p>
    <w:p>
      <w:pPr>
        <w:pStyle w:val="TextBody"/>
        <w:bidi w:val="0"/>
        <w:spacing w:before="240" w:after="0"/>
        <w:jc w:val="left"/>
        <w:rPr>
          <w:rFonts w:ascii="Times New Roman" w:hAnsi="Times New Roman"/>
          <w:sz w:val="20"/>
        </w:rPr>
      </w:pPr>
      <w:r>
        <w:rPr>
          <w:rFonts w:ascii="Times New Roman" w:hAnsi="Times New Roman"/>
          <w:sz w:val="20"/>
        </w:rPr>
        <w:t xml:space="preserve">An allocation of items of our income, gain, loss or deduction, other than an allocation required by the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his interest in us, which will be determined by taking into account all the facts and circumstances,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his relative contributions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interests of all the partners in profits and losses;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of all the partners in cash flow;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all the partners to distributions of capital upon liquidation.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Latham &amp; Watkins LLP is of the opinion that, with the exception of the issues described in “—Section 754 Election” and “—Disposition of Common Units—Allocations Between Transferors and Transferees,” allocations under our partnership agreement will be given effect for federal income tax purposes in determining a partner’s share of an item of income, gain, loss or deduction.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Short Sales </w:t>
      </w:r>
    </w:p>
    <w:p>
      <w:pPr>
        <w:pStyle w:val="TextBody"/>
        <w:bidi w:val="0"/>
        <w:spacing w:before="120" w:after="0"/>
        <w:jc w:val="left"/>
        <w:rPr>
          <w:rFonts w:ascii="Times New Roman" w:hAnsi="Times New Roman"/>
          <w:sz w:val="20"/>
        </w:rPr>
      </w:pPr>
      <w:r>
        <w:rPr>
          <w:rFonts w:ascii="Times New Roman" w:hAnsi="Times New Roman"/>
          <w:sz w:val="20"/>
        </w:rPr>
        <w:t xml:space="preserve">A unitholder whose units are loaned to a “short seller” to cover a short sale of units may be considered as having disposed of those units. If so, he would no longer be treated for tax purposes as a partner with respect to those units during the period of the loan and may recognize gain or loss from the disposition. As a result, during this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our income, gain, loss or deduction with respect to those units would not be reportable by the unitholder;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cash distributions received by the unitholder as to those units would be fully taxable;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while not entirely free from doubt, all of these distributions would appear to be ordinary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Because there is no direct or indirect controlling authority on the issue relating to partnership interests, Latham &amp; Watkins LLP has not rendered an opinion regarding the tax treatment of a unitholder whose common units are loaned to a short seller to cover a short sale of common units; therefore, unitholders desiring to assure their status as partners and avoid the risk of gain recognition from a loan to a short seller are urged to consult a tax advisor to discuss whether it is advisable to modify any applicable brokerage account agreements to prohibit their brokers from borrowing and loaning their units. The IRS has previously announced that it is studying issues relating to the tax treatment of short sales of partnership interests. Please also read “—Disposition of Common Units—Recognition of Gain or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Rates </w:t>
      </w:r>
    </w:p>
    <w:p>
      <w:pPr>
        <w:pStyle w:val="TextBody"/>
        <w:bidi w:val="0"/>
        <w:spacing w:before="120" w:after="0"/>
        <w:jc w:val="left"/>
        <w:rPr>
          <w:rFonts w:ascii="Times New Roman" w:hAnsi="Times New Roman"/>
          <w:sz w:val="20"/>
        </w:rPr>
      </w:pPr>
      <w:r>
        <w:rPr>
          <w:rFonts w:ascii="Times New Roman" w:hAnsi="Times New Roman"/>
          <w:sz w:val="20"/>
        </w:rPr>
        <w:t xml:space="preserve">Currently, the highest marginal U.S. federal income tax rate applicable to ordinary income of individuals is 37% and the highest marginal U.S. federal income tax rate applicable to long-term capital gains (generally, capital gains on certain assets held for more than twelve months) of individuals is 20%. Such rates are subject to change by new legislation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a 3.8% Medicare tax (“NIIT”) is imposed on certain net investment income earned by individuals, estates and trusts. For these purposes, net investment income generally includes a unitholder’s allocable share of our income and gain realized by a unitholder from a sale of units. In the case of an individual, the tax will be imposed on the lesser of (i) the unitholder’s net investment income or (ii) the amount by which the unitholder’s modified adjusted gross income exceeds $250,000 (if the unitholder is married and filing jointly or a surviving spouse), $125,000 (if the unitholder is married and filing separately) or $200,000 (in any other case). In the case of an estate or trust, the tax will be imposed on the lesser of (i) undistributed net investment income, or (ii) the excess adjusted gross income over the dollar amount at which the highest income tax bracket applicable to an estate or trust begins for such taxable year. The U.S. Department of the Treasury and the IRS have issued Treasury Regulations that provide guidance regarding the NIIT. Prospective common unitholders are urged to consult with their tax advisors as to the impact of the NIIT on an investment in our common units. </w:t>
      </w:r>
    </w:p>
    <w:p>
      <w:pPr>
        <w:pStyle w:val="TextBody"/>
        <w:bidi w:val="0"/>
        <w:spacing w:before="240" w:after="0"/>
        <w:jc w:val="left"/>
        <w:rPr>
          <w:rFonts w:ascii="Times New Roman" w:hAnsi="Times New Roman"/>
          <w:sz w:val="20"/>
        </w:rPr>
      </w:pPr>
      <w:r>
        <w:rPr>
          <w:rFonts w:ascii="Times New Roman" w:hAnsi="Times New Roman"/>
          <w:sz w:val="20"/>
        </w:rPr>
        <w:t xml:space="preserve">For taxable years ending on or before December 31, 2025, a non-corporate unitholder is entitled to a deduction equal to 20% of its “qualified business income” attributable to us, subject to certain limitations. For purposes of this deduction, a unitholder’s “qualified business income” attributable to us is equal to the sum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amount of such unitholder’s allocable share of certain of our items of income, gain, deduction and loss (generally excluding certain items related to our investment activities, including capital gains and dividends, which are subject to a federal income tax rate of 20%);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gain recognized by such unitholder on the disposition of its units to the extent such gain is attributable to certain Section 751 assets, including depreciation recapture and “inventory items” we own.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Prospective unitholders should consult their tax advisors regarding the application of this deduction and its interactions with the overall deduction for qualified business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Section 754 Election </w:t>
      </w:r>
    </w:p>
    <w:p>
      <w:pPr>
        <w:pStyle w:val="TextBody"/>
        <w:bidi w:val="0"/>
        <w:spacing w:before="120" w:after="0"/>
        <w:jc w:val="left"/>
        <w:rPr>
          <w:rFonts w:ascii="Times New Roman" w:hAnsi="Times New Roman"/>
          <w:sz w:val="20"/>
        </w:rPr>
      </w:pPr>
      <w:r>
        <w:rPr>
          <w:rFonts w:ascii="Times New Roman" w:hAnsi="Times New Roman"/>
          <w:sz w:val="20"/>
        </w:rPr>
        <w:t xml:space="preserve">We have made the election permitted by Section 754 of the Code. That election is irrevocable without the consent of the IRS. The election generally permits us to adjust a common unit purchaser’s tax basis in our assets (“inside basis”) under Section 743(b) of the Code to reflect his purchase price. This election does not apply with respect to a person who purchases common units directly from us. The Section 743(b) adjustment belongs to the purchaser and not to other unitholders. For purposes of this discussion, the inside basis in our assets with respect to a unitholder will be considered to have two components: (i) his share of our tax basis in our assets (“common basis”) and (ii) his Section 743(b) adjustment to that basis.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the remedial allocation method as to all our properties. Where the remedial allocation method is adopted, the Treasury Regulations under Section 743 of the Code require a portion of the Section 743(b) adjustment that is attributable to recovery property that is subject to depreciation under Section 168 of the Code and whose book basis is in excess of its tax basis to be depreciated over the remaining cost recovery period for the property’s unamortized Book-Tax Disparity. Under Treasury Regulation Section 1.167(c)-1(a)(6), a Section 743(b) adjustment attributable to property subject to depreciation under Section 167 of the Code, rather than cost recovery deductions under Section 168, is generally required to be depreciated using either the straight-line method or the 150% declining balance method. Under our partnership agreement, our general partner is authorized to take a position to preserve the uniformity of units even if that position is not consistent with these and any other Treasury Regulations. Please read “—Uniformity of Units.” </w:t>
      </w:r>
    </w:p>
    <w:p>
      <w:pPr>
        <w:pStyle w:val="TextBody"/>
        <w:bidi w:val="0"/>
        <w:spacing w:before="240" w:after="0"/>
        <w:jc w:val="left"/>
        <w:rPr>
          <w:rFonts w:ascii="Times New Roman" w:hAnsi="Times New Roman"/>
          <w:sz w:val="20"/>
        </w:rPr>
      </w:pPr>
      <w:r>
        <w:rPr>
          <w:rFonts w:ascii="Times New Roman" w:hAnsi="Times New Roman"/>
          <w:sz w:val="20"/>
        </w:rPr>
        <w:t xml:space="preserve">We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is not amortizable. This method is consistent with the methods employed by other publicly traded partnerships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read “—Uniformity of Units.” A unitholder’s tax basis for his common units is reduced by his share of our deductions (whether or not such deductions were claimed on an individual’s income tax return) so that any position we take that understates deductions will overstate such unitholder’s basis in his common units, which may cause the unitholder to understate gain or overstate loss on any sale of such units. Please read “—Disposition of Common Units—Recognition of Gain or Loss.” Latham &amp; Watkins LLP is unable to opine as to whether our method for taking into account Section 743 adjustments is sustainable for property subject to depreciation under Section 167 of the Code or if we use an aggregate approach as described above, as there is no direct or indirect controlling authority addressing the validity of these positions. Moreover, the IRS may challenge our position with respect to depreciating or amortizing the Section 743(b) adjustment we take to preserve the uniformity of the units. If such a challenge were sustained, the gain from the sale of units might be increased without the benefit of additional deductions.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limitations, a Section 743(b) adjustment may create additional depreciable basis that is eligible for bonus depreciation under 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may elect out of the bonus depreciation provisions of Section 168(k) with respect to basis adjustments under Section 743(b). </w:t>
      </w:r>
    </w:p>
    <w:p>
      <w:pPr>
        <w:pStyle w:val="TextBody"/>
        <w:bidi w:val="0"/>
        <w:spacing w:before="240" w:after="0"/>
        <w:jc w:val="left"/>
        <w:rPr>
          <w:rFonts w:ascii="Times New Roman" w:hAnsi="Times New Roman"/>
          <w:sz w:val="20"/>
        </w:rPr>
      </w:pPr>
      <w:r>
        <w:rPr>
          <w:rFonts w:ascii="Times New Roman" w:hAnsi="Times New Roman"/>
          <w:sz w:val="20"/>
        </w:rPr>
        <w:t xml:space="preserve">A Section 754 election is advantageous if the transferee’s tax basis in his units is higher than the units’ share of the aggregate tax basis of our assets immediately prior to the transfer.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 A basis adjustment is required regardless of whether a Section 754 election is made in the case of a transfer of an interest in us if we have a substantial built-in loss immediately after the transfer. Generally, a built-in loss is substantial if (i) it exceeds $250,000 or (ii) the transferee would be allocated a net loss in excess of $250,000 on a hypothetical sale of our assets for their fair market value immediately after a transfer of the interests at issue. In addition, a basis adjustment is required regardless of whether a Section 754 election is made if we distribute property and have a substantial basis reduction. A substantial basis reduction exists if, on a liquidating distribution of property to a unitholder, there would be a negative basis adjustment to our assets in excess of $250,000 if a Section 754 election were in place. </w:t>
      </w:r>
    </w:p>
    <w:p>
      <w:pPr>
        <w:pStyle w:val="TextBody"/>
        <w:bidi w:val="0"/>
        <w:spacing w:before="240" w:after="0"/>
        <w:jc w:val="left"/>
        <w:rPr>
          <w:rFonts w:ascii="Times New Roman" w:hAnsi="Times New Roman"/>
          <w:sz w:val="20"/>
        </w:rPr>
      </w:pPr>
      <w:r>
        <w:rPr>
          <w:rFonts w:ascii="Times New Roman" w:hAnsi="Times New Roman"/>
          <w:sz w:val="20"/>
        </w:rPr>
        <w:t xml:space="preserve">The calculations involved in the Section 754 election are complex and will be made on the basis of assumptions as to the value of our assets and other matters. For example, the allocation of the Section 743(b) adjustment among our assets must be made in accordance with the Code. The IRS could seek to reallocate some or all of any Section 743(b) adjustment allocated by us to our tangible assets to goodwill instead. Goodwill, as an intangible asset, is generally nonamortizable or amortizable over a longer period of time or under a less accelerated method than our tangible assets. We cannot assure you that the determinations we make will not be successfully challenged by the IRS and that the deductions resulting from them will not be reduced or disallowed altogether. Should the IRS require a different basis adjustment to be 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Tax Treatment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Accounting Method and Taxable Year </w:t>
      </w:r>
    </w:p>
    <w:p>
      <w:pPr>
        <w:pStyle w:val="TextBody"/>
        <w:bidi w:val="0"/>
        <w:spacing w:before="120" w:after="0"/>
        <w:jc w:val="left"/>
        <w:rPr>
          <w:rFonts w:ascii="Times New Roman" w:hAnsi="Times New Roman"/>
          <w:sz w:val="20"/>
        </w:rPr>
      </w:pPr>
      <w:r>
        <w:rPr>
          <w:rFonts w:ascii="Times New Roman" w:hAnsi="Times New Roman"/>
          <w:sz w:val="20"/>
        </w:rPr>
        <w:t xml:space="preserve">We use the year ending December 31 as our taxable year and the accrual method of accounting for federal income 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twelve months of our income, gain, loss and deduction. Please read “—Disposition of Common Units—Allocations Between Transferors and Transferees.”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Basis, 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will be borne by our unitholders holding interests in us prior to any such offering. Please read “—Tax Consequences of Unit Ownership—Allocation of Income, Gain, Loss and Deduction.”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allowable, we may use the depreciation and cost recovery methods, including bonus depreciation to the extent available, that will result in the largest deductions being taken in the early years after assets subject to these allowances are placed in service. Please read “—Uniformity of Units.” Property we subsequently acquire or construct may be depreciated using accelerated methods permitted by the Code. </w:t>
      </w:r>
    </w:p>
    <w:p>
      <w:pPr>
        <w:pStyle w:val="TextBody"/>
        <w:bidi w:val="0"/>
        <w:spacing w:before="240" w:after="0"/>
        <w:jc w:val="left"/>
        <w:rPr>
          <w:rFonts w:ascii="Times New Roman" w:hAnsi="Times New Roman"/>
          <w:sz w:val="20"/>
        </w:rPr>
      </w:pPr>
      <w:r>
        <w:rPr>
          <w:rFonts w:ascii="Times New Roman" w:hAnsi="Times New Roman"/>
          <w:sz w:val="20"/>
        </w:rPr>
        <w:t xml:space="preserve">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his interest in us. Please read “—Tax Consequences of Unit Ownership—Allocation of Income, Gain, Loss and Deduction” and “—Disposition of Common Units—Recognition of Gain or Loss.” </w:t>
      </w:r>
    </w:p>
    <w:p>
      <w:pPr>
        <w:pStyle w:val="TextBody"/>
        <w:bidi w:val="0"/>
        <w:spacing w:before="240" w:after="0"/>
        <w:jc w:val="left"/>
        <w:rPr>
          <w:rFonts w:ascii="Times New Roman" w:hAnsi="Times New Roman"/>
          <w:sz w:val="20"/>
        </w:rPr>
      </w:pPr>
      <w:r>
        <w:rPr>
          <w:rFonts w:ascii="Times New Roman" w:hAnsi="Times New Roman"/>
          <w:sz w:val="20"/>
        </w:rPr>
        <w:t xml:space="preserve">The costs we incur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Valuation and Tax Basis of Our Properties </w:t>
      </w:r>
    </w:p>
    <w:p>
      <w:pPr>
        <w:pStyle w:val="TextBody"/>
        <w:bidi w:val="0"/>
        <w:spacing w:before="120" w:after="0"/>
        <w:jc w:val="left"/>
        <w:rPr>
          <w:rFonts w:ascii="Times New Roman" w:hAnsi="Times New Roman"/>
          <w:sz w:val="20"/>
        </w:rPr>
      </w:pPr>
      <w:r>
        <w:rPr>
          <w:rFonts w:ascii="Times New Roman" w:hAnsi="Times New Roman"/>
          <w:sz w:val="20"/>
        </w:rPr>
        <w:t xml:space="preserve">The U.S.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basis are subject to challenge and will not be binding on the IRS or the courts. If the estimates of fair market value or determinations of basis are later found to be incorrect, the character and amount of items of income, gain, loss or deductions previously reported by unitholders might change, and unitholders might be required to adjust their tax liability for prior years and incur interest and penalties with respect to those adjustments. </w:t>
      </w:r>
    </w:p>
    <w:p>
      <w:pPr>
        <w:pStyle w:val="TextBody"/>
        <w:bidi w:val="0"/>
        <w:spacing w:before="360" w:after="0"/>
        <w:jc w:val="left"/>
        <w:rPr>
          <w:rFonts w:ascii="Times New Roman" w:hAnsi="Times New Roman"/>
          <w:b/>
          <w:sz w:val="20"/>
        </w:rPr>
      </w:pPr>
      <w:r>
        <w:rPr>
          <w:rFonts w:ascii="Times New Roman" w:hAnsi="Times New Roman"/>
          <w:b/>
          <w:sz w:val="20"/>
        </w:rPr>
        <w:t xml:space="preserve">Disposition of Common Units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Recognition of Gain or Loss </w:t>
      </w:r>
    </w:p>
    <w:p>
      <w:pPr>
        <w:pStyle w:val="TextBody"/>
        <w:bidi w:val="0"/>
        <w:spacing w:before="120" w:after="0"/>
        <w:jc w:val="left"/>
        <w:rPr>
          <w:rFonts w:ascii="Times New Roman" w:hAnsi="Times New Roman"/>
          <w:sz w:val="20"/>
        </w:rPr>
      </w:pPr>
      <w:r>
        <w:rPr>
          <w:rFonts w:ascii="Times New Roman" w:hAnsi="Times New Roman"/>
          <w:sz w:val="20"/>
        </w:rPr>
        <w:t xml:space="preserve">Gain or loss will be recognized on a sale of units equal to the difference between the amount realized and the unitholder’s tax basis for the units sold. A unitholder’s amount realized will be measured by the sum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cash or the fair market value of other property received by him plus his share of our nonrecourse liabilities. Because the amount realized includes a unitholder’s share of our nonrecourse liabilities, the gain recognized on the sale of units could result in a tax liability in excess of any cash received from the sale. </w:t>
      </w:r>
    </w:p>
    <w:p>
      <w:pPr>
        <w:pStyle w:val="TextBody"/>
        <w:bidi w:val="0"/>
        <w:spacing w:before="240" w:after="0"/>
        <w:jc w:val="left"/>
        <w:rPr>
          <w:rFonts w:ascii="Times New Roman" w:hAnsi="Times New Roman"/>
          <w:sz w:val="20"/>
        </w:rPr>
      </w:pPr>
      <w:r>
        <w:rPr>
          <w:rFonts w:ascii="Times New Roman" w:hAnsi="Times New Roman"/>
          <w:sz w:val="20"/>
        </w:rPr>
        <w:t xml:space="preserve">Prior distributions on our common units that in the aggregate were in excess of cumulative net taxable income for a common unit and, therefore, decreased a unitholder’s tax basis in that common unit will, in effect, become taxable income if the common unit is sold at a price greater than the unitholder’s tax basis in that common unit, even if the price received is less than his original cost. </w:t>
      </w:r>
    </w:p>
    <w:p>
      <w:pPr>
        <w:pStyle w:val="TextBody"/>
        <w:bidi w:val="0"/>
        <w:spacing w:before="240" w:after="0"/>
        <w:jc w:val="left"/>
        <w:rPr>
          <w:rFonts w:ascii="Times New Roman" w:hAnsi="Times New Roman"/>
          <w:sz w:val="20"/>
        </w:rPr>
      </w:pPr>
      <w:r>
        <w:rPr>
          <w:rFonts w:ascii="Times New Roman" w:hAnsi="Times New Roman"/>
          <w:sz w:val="20"/>
        </w:rPr>
        <w:t xml:space="preserve">Except as noted below, gain or loss recognized by a unitholder, other than a “dealer” in units, on the sale or exchange of a unit will generally be taxable as capital gain or loss. Capital gain recognized by an individual on the sale of units held for more than twelve months will generally be taxed at the U.S. federal income tax rate applicable to long-term capital gains. </w:t>
      </w:r>
    </w:p>
    <w:p>
      <w:pPr>
        <w:pStyle w:val="TextBody"/>
        <w:bidi w:val="0"/>
        <w:spacing w:before="240" w:after="0"/>
        <w:jc w:val="left"/>
        <w:rPr>
          <w:rFonts w:ascii="Times New Roman" w:hAnsi="Times New Roman"/>
          <w:sz w:val="20"/>
        </w:rPr>
      </w:pPr>
      <w:r>
        <w:rPr>
          <w:rFonts w:ascii="Times New Roman" w:hAnsi="Times New Roman"/>
          <w:sz w:val="20"/>
        </w:rPr>
        <w:t xml:space="preserve">However, a portion of this gain or loss, which will likely be substantial, will be separately computed and taxed as ordinary income or loss under Section 751 of the Code to the extent attributable to assets giving rise to “unrealized receivables,” including potential recapture items such as depreciation recapture, or to “inventory items” we own. Ordinary income attributable to unrealized receivables and inventory items may exceed net taxable gain realized upon the sale of a unit and may be recognized even if there is a net taxable loss realized on the sale of a unit. Thus, a unitholder may recognize both ordinary income and a capital loss upon a sale of units. Capital losses may offset capital gains and no more than $3,000 of ordinary income, in the case of individuals, and may only be used to offset capital gains in the case of corporations. Ordinary income recognized by a unitholder on disposition of our common units may be reduced by such unitholder’s deduction for qualified business income. Both ordinary income and capital gain recognized on a sale of units may be subject to the NIIT in certain circumstances. Please read “—Tax Consequences of Unit Ownership—Tax Rates.” </w:t>
      </w:r>
    </w:p>
    <w:p>
      <w:pPr>
        <w:pStyle w:val="TextBody"/>
        <w:bidi w:val="0"/>
        <w:spacing w:before="240" w:after="0"/>
        <w:jc w:val="left"/>
        <w:rPr>
          <w:rFonts w:ascii="Times New Roman" w:hAnsi="Times New Roman"/>
          <w:sz w:val="20"/>
        </w:rPr>
      </w:pPr>
      <w:r>
        <w:rPr>
          <w:rFonts w:ascii="Times New Roman" w:hAnsi="Times New Roman"/>
          <w:sz w:val="20"/>
        </w:rPr>
        <w:t xml:space="preserve">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his entire interest in the partnership as the value of the interest sold bears to the value of the partner’s entire interest in the partnership. Treasury Regulations under Section 1223 of the Code allow a selling unitholder who can identify common units transferred with an ascertainable holding period to elect to use the actual holding period of the common units transferred. Thus, according to the ruling discussed above, a unitholder will be unable to select high or low basis common units to sell as would be the case with corporate stock, but, according to the Treasury Regulations, he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units. A unitholder considering the purchase of additional common units or a sale of common units purchased in separate transactions is urged to consult his tax advisor as to the possible consequences of this ruling and application of the Treasury Regulations. </w:t>
      </w:r>
    </w:p>
    <w:p>
      <w:pPr>
        <w:pStyle w:val="TextBody"/>
        <w:bidi w:val="0"/>
        <w:spacing w:before="240" w:after="0"/>
        <w:jc w:val="left"/>
        <w:rPr>
          <w:rFonts w:ascii="Times New Roman" w:hAnsi="Times New Roman"/>
          <w:sz w:val="20"/>
        </w:rPr>
      </w:pPr>
      <w:r>
        <w:rPr>
          <w:rFonts w:ascii="Times New Roman" w:hAnsi="Times New Roman"/>
          <w:sz w:val="20"/>
        </w:rPr>
        <w:t xml:space="preserve">Specific provisions of the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short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offsetting notional principal contract;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futures or forward contract;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with respect to the partnership interest or substantially identical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also authorized to issue regulations that treat a taxpayer that enters into transactions or positions that have substantially the same effect as the preceding transactions as having constructively sold the financial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Allocations Between Transferors and Transferees </w:t>
      </w:r>
    </w:p>
    <w:p>
      <w:pPr>
        <w:pStyle w:val="TextBody"/>
        <w:bidi w:val="0"/>
        <w:spacing w:before="240" w:after="0"/>
        <w:jc w:val="left"/>
        <w:rPr>
          <w:rFonts w:ascii="Times New Roman" w:hAnsi="Times New Roman"/>
          <w:sz w:val="20"/>
        </w:rPr>
      </w:pPr>
      <w:r>
        <w:rPr>
          <w:rFonts w:ascii="Times New Roman" w:hAnsi="Times New Roman"/>
          <w:sz w:val="20"/>
        </w:rPr>
        <w:t xml:space="preserve">In general, our taxable income and losses will be determined annually, will be prorated on a monthly basis in proportion to the number of days in each month and will be subsequently apportioned among our unitholders in proportion to the number of common units owned by each of them as of the opening of the applicable exchange on the first business day of the month, which we refer to as the “Allocation Date.” However, gain or loss realized on a sale or other disposition of our assets other than in the ordinary course of business will be allocated among our unitholders on the Allocation Date in the month in which that gain or loss is recognized. As a result, a unitholder transferring units may be allocated income, gain, loss and deduction realized after the date of transfer. </w:t>
      </w:r>
    </w:p>
    <w:p>
      <w:pPr>
        <w:pStyle w:val="TextBody"/>
        <w:bidi w:val="0"/>
        <w:spacing w:before="240" w:after="0"/>
        <w:jc w:val="left"/>
        <w:rPr>
          <w:rFonts w:ascii="Times New Roman" w:hAnsi="Times New Roman"/>
          <w:sz w:val="20"/>
        </w:rPr>
      </w:pPr>
      <w:r>
        <w:rPr>
          <w:rFonts w:ascii="Times New Roman" w:hAnsi="Times New Roman"/>
          <w:sz w:val="20"/>
        </w:rPr>
        <w:t xml:space="preserve">The U.S. Department of Treasury and the IRS have issued Treasury Regulations that permit publicly traded partnerships to use a monthly simplifying convention that is similar to ours, but they do not specifically authorize all aspects of the proration method we have adopted. Accordingly, Latham &amp; Watkins LLP is unable to opine on the validity of this method of allocating income and deductions between transferor and transferee unitholders. If this method is not allowed under the Treasury Regulations, our taxable income or losses might be reallocated among the unitholders. We are authorized to revise our method of allocation between transferor and transferee unitholders, as well as unitholders whose interests vary during a taxable year. </w:t>
      </w:r>
    </w:p>
    <w:p>
      <w:pPr>
        <w:pStyle w:val="TextBody"/>
        <w:bidi w:val="0"/>
        <w:spacing w:before="240" w:after="0"/>
        <w:jc w:val="left"/>
        <w:rPr>
          <w:rFonts w:ascii="Times New Roman" w:hAnsi="Times New Roman"/>
          <w:sz w:val="20"/>
        </w:rPr>
      </w:pPr>
      <w:r>
        <w:rPr>
          <w:rFonts w:ascii="Times New Roman" w:hAnsi="Times New Roman"/>
          <w:sz w:val="20"/>
        </w:rPr>
        <w:t xml:space="preserve">A unitholder who owns common units at any time during a quarter and who disposes of them prior to the record date set for a cash distribution for that quarter will be allocated items of our income, gain, loss and deductions attributable to that quarter through the month of disposition but will not be entitled to receive that cash distribution.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Notification Requirements </w:t>
      </w:r>
    </w:p>
    <w:p>
      <w:pPr>
        <w:pStyle w:val="TextBody"/>
        <w:bidi w:val="0"/>
        <w:spacing w:before="120" w:after="0"/>
        <w:jc w:val="left"/>
        <w:rPr>
          <w:rFonts w:ascii="Times New Roman" w:hAnsi="Times New Roman"/>
          <w:sz w:val="20"/>
        </w:rPr>
      </w:pPr>
      <w:r>
        <w:rPr>
          <w:rFonts w:ascii="Times New Roman" w:hAnsi="Times New Roman"/>
          <w:sz w:val="20"/>
        </w:rPr>
        <w:t xml:space="preserve">A unitholder who sells any of his common units is generally required to notify us in writing of that sale within 30 days after the sale (or, if earlier, January 15 of the year following the sale). A purchaser of units who purchases units from another unitholder is also generally required to notify us in writing of that purchase within 30 days after the purchase. Upon receiving such notifications, we are required to notify the IRS of that transaction and to furnish specified information to the transferor and transferee. Failure to notify us of a purchase may, in some cases, lead to the imposition of penalties. However, these reporting requirements do not apply to a sale by an individual who is a citizen of the United States and who effects the sale or exchange through a broker who will satisfy such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Uniformity of Units </w:t>
      </w:r>
    </w:p>
    <w:p>
      <w:pPr>
        <w:pStyle w:val="TextBody"/>
        <w:bidi w:val="0"/>
        <w:spacing w:before="120" w:after="0"/>
        <w:jc w:val="left"/>
        <w:rPr>
          <w:rFonts w:ascii="Times New Roman" w:hAnsi="Times New Roman"/>
          <w:sz w:val="20"/>
        </w:rPr>
      </w:pPr>
      <w:r>
        <w:rPr>
          <w:rFonts w:ascii="Times New Roman" w:hAnsi="Times New Roman"/>
          <w:sz w:val="20"/>
        </w:rPr>
        <w:t xml:space="preserve">Because we cannot match transferors and transferees of common units, we must maintain uniformity of the economic and tax characteristics of the common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common units. Please read “—Tax Consequences of Unit Ownership—Section 754 Election.” We depreciate the portion of a Section 743(b) adjustment attributable to unrealized appreciation in the value of Contributed Property,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the common basis of which is not amortizable, consistent with the regulations under Section 743 of the Code, even though that position may be inconsistent with Treasury Regulation Section 1.167(c)-1(a)(6), which is not expected to directly apply to a material portion of our assets. Please read “—Tax Consequences of Unit Ownership—Section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common basis or a Section 743(b) adjustment, based upon the same applicable rate as if they had purchased a direct interest in our assets.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In either case, and as stated above under “—Tax Consequences of Unit Ownership—Section 754 Election,” Latham &amp; Watkins LLP has not rendered an opinion with respect to these methods. Moreover,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read “—Disposition of Common Units—Recognition of Gain or Loss.” </w:t>
      </w:r>
    </w:p>
    <w:p>
      <w:pPr>
        <w:pStyle w:val="TextBody"/>
        <w:bidi w:val="0"/>
        <w:spacing w:before="360" w:after="0"/>
        <w:jc w:val="left"/>
        <w:rPr>
          <w:rFonts w:ascii="Times New Roman" w:hAnsi="Times New Roman"/>
          <w:b/>
          <w:sz w:val="20"/>
        </w:rPr>
      </w:pPr>
      <w:r>
        <w:rPr>
          <w:rFonts w:ascii="Times New Roman" w:hAnsi="Times New Roman"/>
          <w:b/>
          <w:sz w:val="20"/>
        </w:rPr>
        <w:t xml:space="preserve">Tax-Exempt Organizations and Other Investors </w:t>
      </w:r>
    </w:p>
    <w:p>
      <w:pPr>
        <w:pStyle w:val="TextBody"/>
        <w:bidi w:val="0"/>
        <w:spacing w:before="120" w:after="0"/>
        <w:jc w:val="left"/>
        <w:rPr>
          <w:rFonts w:ascii="Times New Roman" w:hAnsi="Times New Roman"/>
          <w:sz w:val="20"/>
        </w:rPr>
      </w:pPr>
      <w:r>
        <w:rPr>
          <w:rFonts w:ascii="Times New Roman" w:hAnsi="Times New Roman"/>
          <w:sz w:val="20"/>
        </w:rPr>
        <w:t xml:space="preserve">Ownership of units by employee benefit plans, other tax-exempt organizations, non-resident aliens, foreign corporations and other foreign persons raises issues unique to those investors and, as described below to a limited extent, may have substantially adverse tax consequences to them. If you are a tax-exempt entity or a foreign person, you should consult your tax advisor before investing in our common units. </w:t>
      </w:r>
    </w:p>
    <w:p>
      <w:pPr>
        <w:pStyle w:val="TextBody"/>
        <w:bidi w:val="0"/>
        <w:spacing w:before="240" w:after="0"/>
        <w:jc w:val="left"/>
        <w:rPr>
          <w:rFonts w:ascii="Times New Roman" w:hAnsi="Times New Roman"/>
          <w:sz w:val="20"/>
        </w:rPr>
      </w:pPr>
      <w:r>
        <w:rPr>
          <w:rFonts w:ascii="Times New Roman" w:hAnsi="Times New Roman"/>
          <w:sz w:val="20"/>
        </w:rPr>
        <w:t xml:space="preserve">Employee benefit plans and most other organizations exempt from federal income tax, including IRAs and other retirement plans, are subject to federal income tax on unrelated business taxable income. </w:t>
      </w:r>
    </w:p>
    <w:p>
      <w:pPr>
        <w:pStyle w:val="TextBody"/>
        <w:bidi w:val="0"/>
        <w:spacing w:before="240" w:after="0"/>
        <w:jc w:val="left"/>
        <w:rPr>
          <w:rFonts w:ascii="Times New Roman" w:hAnsi="Times New Roman"/>
          <w:sz w:val="20"/>
        </w:rPr>
      </w:pPr>
      <w:r>
        <w:rPr>
          <w:rFonts w:ascii="Times New Roman" w:hAnsi="Times New Roman"/>
          <w:sz w:val="20"/>
        </w:rPr>
        <w:t xml:space="preserve">Virtually all of our income allocated to a unitholder that is a tax-exempt organization will be unrelated business taxable income (“UBTI”) and will be taxable to it. Further, a tax-exempt organization with more than one unrelated trade or business (including by attribution from investments in a partnership, such as us, that is engaged in one or more unrelated trades or businesses) must compute its UBTI separately for each such trade or business, including for purposes of determining any net operating loss deductions. As a result, it may not be possible for tax-exempt organizations to use losses from an investment in us to offset taxable income from another unrelated trade or business. </w:t>
      </w:r>
    </w:p>
    <w:p>
      <w:pPr>
        <w:pStyle w:val="TextBody"/>
        <w:bidi w:val="0"/>
        <w:spacing w:before="240" w:after="0"/>
        <w:jc w:val="left"/>
        <w:rPr>
          <w:rFonts w:ascii="Times New Roman" w:hAnsi="Times New Roman"/>
          <w:sz w:val="20"/>
        </w:rPr>
      </w:pPr>
      <w:r>
        <w:rPr>
          <w:rFonts w:ascii="Times New Roman" w:hAnsi="Times New Roman"/>
          <w:sz w:val="20"/>
        </w:rPr>
        <w:t xml:space="preserve">Non-resident aliens and foreign corporations, trusts or estates that own common units will be considered to be engaged in business in the United States because of the ownership of such common units. As a consequence, they will be required to file federal tax returns to report their share of our income, gain, loss or deduction and guaranteed payments and pay U.S. federal income tax at regular rates on their share of our net income or gain. Moreover, under rules applicable to publicly traded partnerships, our quarterly distributions to foreign unitholders will be subject to withholding at the highest applicable effective tax rate. Each foreign unitholder must obtain a taxpayer identification number from the IRS and submit that number to our transfer agent on a Form W-8BEN, W-8BEN-E or applicable substitute form in order to obtain credit for these withholding taxes. A change in applicable law may require us to change these procedures.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because a foreign corporation that owns common units will be treated as engaged in a U.S. trade or business, that corporation may be subject to the U.S. branch profits tax at a rate of 30%, in addition to regular U.S. federal income tax, on its share of our earnings and profits, as adjusted for changes in the foreign corporation’s “U.S. net equity,” that is effectively connected with the conduct of a U.S.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 </w:t>
      </w:r>
    </w:p>
    <w:p>
      <w:pPr>
        <w:pStyle w:val="TextBody"/>
        <w:bidi w:val="0"/>
        <w:spacing w:before="240" w:after="0"/>
        <w:jc w:val="left"/>
        <w:rPr>
          <w:rFonts w:ascii="Times New Roman" w:hAnsi="Times New Roman"/>
          <w:sz w:val="20"/>
        </w:rPr>
      </w:pPr>
      <w:r>
        <w:rPr>
          <w:rFonts w:ascii="Times New Roman" w:hAnsi="Times New Roman"/>
          <w:sz w:val="20"/>
        </w:rPr>
        <w:t xml:space="preserve">A foreign unitholder who sells or otherwise disposes of a common unit will be subject to U.S. federal income tax on gain realized from the sale or disposition of that unit to the extent the gain is effectively connected with a U.S. trade or business of the foreign unitholder. Gain on the sale or disposition of a common unit will be treated as effectively connected with a U.S. trade or business to the extent that a foreign unitholder would recognize gain effectively connected with a U.S. trade or business upon the hypothetical sale of our assets at fair market value on the date of the sale or exchange of that unit. Such gain shall be reduced by certain amounts treated as effectively connected with a U.S. trade or business attributable to certain real property interests, as set forth in the following paragraph. </w:t>
      </w:r>
    </w:p>
    <w:p>
      <w:pPr>
        <w:pStyle w:val="TextBody"/>
        <w:bidi w:val="0"/>
        <w:spacing w:before="240" w:after="0"/>
        <w:jc w:val="left"/>
        <w:rPr>
          <w:rFonts w:ascii="Times New Roman" w:hAnsi="Times New Roman"/>
          <w:sz w:val="20"/>
        </w:rPr>
      </w:pPr>
      <w:r>
        <w:rPr>
          <w:rFonts w:ascii="Times New Roman" w:hAnsi="Times New Roman"/>
          <w:sz w:val="20"/>
        </w:rPr>
        <w:t xml:space="preserve">Under the Foreign Investment in Real Property Tax Act, a foreign common unitholder (other than certain “qualified foreign pension funds” (or an entity all of the interests of which are held by such a qualified foreign pension fund), which generally are entities or arrangements that are established and regulated by foreign law to provide retirement or other pension benefits to employees, do not have a single participant or beneficiary that is entitled to more than 5% of the assets or income of the entity or arrangement and are subject to certain preferential tax treatment under the laws of the applicable foreign country) generally will be subject to U.S. federal income tax upon the sale or disposition of a common unit if (i) he owned (directly or constructively applying certain attribution rules) more than 5% of our common units at any time during the five-year period ending on the date of such disposition and (ii) 50% or more of the fair market value of all of our assets consisted of U.S. real property interests at any time during the shorter of the period during which such unitholder held the common units or the five-year period ending on the date of disposition. Currently, more than 50% of our assets consist of U.S. real property interests and we do not expect that to change in the foreseeable future. </w:t>
      </w:r>
    </w:p>
    <w:p>
      <w:pPr>
        <w:pStyle w:val="TextBody"/>
        <w:bidi w:val="0"/>
        <w:spacing w:before="240" w:after="0"/>
        <w:jc w:val="left"/>
        <w:rPr>
          <w:rFonts w:ascii="Times New Roman" w:hAnsi="Times New Roman"/>
          <w:sz w:val="20"/>
        </w:rPr>
      </w:pPr>
      <w:r>
        <w:rPr>
          <w:rFonts w:ascii="Times New Roman" w:hAnsi="Times New Roman"/>
          <w:sz w:val="20"/>
        </w:rPr>
        <w:t xml:space="preserve">Therefore, foreign unitholders may be subject to U.S. federal income tax on gain from the sale or disposition of their common units. </w:t>
      </w:r>
    </w:p>
    <w:p>
      <w:pPr>
        <w:pStyle w:val="TextBody"/>
        <w:bidi w:val="0"/>
        <w:spacing w:before="240" w:after="0"/>
        <w:jc w:val="left"/>
        <w:rPr>
          <w:rFonts w:ascii="Times New Roman" w:hAnsi="Times New Roman"/>
          <w:sz w:val="20"/>
        </w:rPr>
      </w:pPr>
      <w:r>
        <w:rPr>
          <w:rFonts w:ascii="Times New Roman" w:hAnsi="Times New Roman"/>
          <w:sz w:val="20"/>
        </w:rPr>
        <w:t xml:space="preserve">Upon the sale, exchange or other disposition of a common unit by a foreign unitholder, the transferee is generally required to withhold 10% of the amount realized on such sale, exchange or other disposition if any portion of the gain on such sale, exchange or other disposition would be treated as effectively connected with a U.S. trade or business. The U.S. Department of the Treasury and the IRS have issued final regulations providing guidance on the application of these rules for transfers of certain publicly traded partnership interests, including transfers of our common units. Under these regulations, the “amount realized” on a transfer of our common units will generally be the amount of gross proceeds paid to the broker effecting the applicable transfer on behalf of the transferor, and such broker will generally be responsible for the relevant withholding obligations. Distributions made to our unitholders may also be subject to withholding under these rules to the extent a portion of a distribution is attributable to an amount in excess of our cumulative net income that has not previously been distributed. Prospective foreign unitholders should consult their tax advisors regarding the impact of these rules on an investment in our common units. </w:t>
      </w:r>
    </w:p>
    <w:p>
      <w:pPr>
        <w:pStyle w:val="TextBody"/>
        <w:bidi w:val="0"/>
        <w:spacing w:before="240" w:after="0"/>
        <w:jc w:val="left"/>
        <w:rPr>
          <w:rFonts w:ascii="Times New Roman" w:hAnsi="Times New Roman"/>
          <w:sz w:val="20"/>
        </w:rPr>
      </w:pPr>
      <w:r>
        <w:rPr>
          <w:rFonts w:ascii="Times New Roman" w:hAnsi="Times New Roman"/>
          <w:sz w:val="20"/>
        </w:rPr>
        <w:t xml:space="preserve">Additional withholding requirements may also affect certain foreign unitholders. Please read “—Administrative Matters—Additional Withholding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Administrative Matters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Information Returns and Audit Procedures </w:t>
      </w:r>
    </w:p>
    <w:p>
      <w:pPr>
        <w:pStyle w:val="TextBody"/>
        <w:bidi w:val="0"/>
        <w:spacing w:before="120" w:after="0"/>
        <w:jc w:val="left"/>
        <w:rPr>
          <w:rFonts w:ascii="Times New Roman" w:hAnsi="Times New Roman"/>
          <w:sz w:val="20"/>
        </w:rPr>
      </w:pPr>
      <w:r>
        <w:rPr>
          <w:rFonts w:ascii="Times New Roman" w:hAnsi="Times New Roman"/>
          <w:sz w:val="20"/>
        </w:rPr>
        <w:t xml:space="preserve">We intend to furnish to each unitholder, within 90 days after the close of each calendar year, specific tax 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you that those positions will yield a result that conforms to the requirements of the Code, Treasury Regulations or administrative interpretations of the IRS. Neither we nor Latham &amp; Watkins LLP can assure prospective common unitholders that the IRS will not successfully contend in court that those positions are impermissible. Any challenge by the IRS could negatively affect the value of the units. </w:t>
      </w:r>
    </w:p>
    <w:p>
      <w:pPr>
        <w:pStyle w:val="TextBody"/>
        <w:bidi w:val="0"/>
        <w:spacing w:before="240" w:after="0"/>
        <w:jc w:val="left"/>
        <w:rPr>
          <w:rFonts w:ascii="Times New Roman" w:hAnsi="Times New Roman"/>
          <w:sz w:val="20"/>
        </w:rPr>
      </w:pPr>
      <w:r>
        <w:rPr>
          <w:rFonts w:ascii="Times New Roman" w:hAnsi="Times New Roman"/>
          <w:sz w:val="20"/>
        </w:rPr>
        <w:t xml:space="preserve">The IRS may audit our federal income tax information returns. Adjustments resulting from an IRS audit may require each unitholder to adjust a prior year’s tax liability, and possibly may result in an audit of his return. Any audit of a unitholder’s return could result in adjustments not related to our returns as well as those related to our returns. </w:t>
      </w:r>
    </w:p>
    <w:p>
      <w:pPr>
        <w:pStyle w:val="TextBody"/>
        <w:bidi w:val="0"/>
        <w:spacing w:before="240" w:after="0"/>
        <w:jc w:val="left"/>
        <w:rPr>
          <w:rFonts w:ascii="Times New Roman" w:hAnsi="Times New Roman"/>
          <w:sz w:val="20"/>
        </w:rPr>
      </w:pPr>
      <w:r>
        <w:rPr>
          <w:rFonts w:ascii="Times New Roman" w:hAnsi="Times New Roman"/>
          <w:sz w:val="20"/>
        </w:rPr>
        <w:t xml:space="preserve">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w:t>
      </w:r>
    </w:p>
    <w:p>
      <w:pPr>
        <w:pStyle w:val="TextBody"/>
        <w:bidi w:val="0"/>
        <w:spacing w:before="240" w:after="0"/>
        <w:jc w:val="left"/>
        <w:rPr>
          <w:rFonts w:ascii="Times New Roman" w:hAnsi="Times New Roman"/>
          <w:sz w:val="20"/>
        </w:rPr>
      </w:pPr>
      <w:r>
        <w:rPr>
          <w:rFonts w:ascii="Times New Roman" w:hAnsi="Times New Roman"/>
          <w:sz w:val="20"/>
        </w:rPr>
        <w:t xml:space="preserve">A unitholder must file a statement with the IRS identifying the treatment of any item on his federal income tax return that is not consistent with the treatment of the item on our return. Intentional or negligent disregard of this consistency requirement may subject a unitholder to substantial penalties.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Bipartisan Budget Act of 2015, if the IRS makes audit adjustments to our income tax returns, it may assess and collect any taxes (including any applicable penalties and interest) resulting from such audit adjustment directly from us. Similarly, for such taxable years, if the IRS makes audit adjustments to income tax returns filed by an entity in which we are a member or a partner, it may assess and collect any taxes (including penalties and interest) resulting from such audit adjustment directly from such entity. Generally, we expect to elect to have our general partner and our unitholders take any such audit adjustment into account in accordance with their interests in us during the taxable year under audit, but there can be no assurance that such election will be effective in all circumstances. If we are unable to have our general partner and our unitholders take such audit adjustment into account in accordance with their interests in us during the tax year under audit, our current unitholders may bear some or all of the tax liability resulting from such audit adjustment, even if such unitholders did not own our units during the tax year under audit. If, as a result of any such audit adjustment, we are required to make payments of taxes, penalties and interest, our cash available for distribution to our common unitholders might be substantially reduced.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pursuant to the Bipartisan Budget Act of 2015, we are required to designate a partner, or other person, with a substantial presence in the United States as the partnership representative (“Partnership Representative”). The Partnership Representative has the sole authority to act on our behalf for purposes of, among other things, U.S. federal income tax audits and judicial review of administrative adjustments by the IRS. If we do not make such a designation, the IRS can select any person as the Partnership Representative. We have designated our general partner as our Partnership Representative. Further, any actions taken by us or by the Partnership Representative on our behalf with respect to, among other things, U.S. federal income tax audits and judicial review of administrative adjustments by the IRS, will be binding on us and all of our unitholders.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Withholding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proposed Treasury Regulations discussed below, withholding taxes may apply to certain types of payments made to “foreign financial institutions” (as specially defined in the Code) and certain other foreign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entities. Specifically, a 30% withholding tax may be imposed on interest, dividends and other fixed or determinable annual or periodical gains, profits and income from sources within the United States (“FDAP Income”), or gross proceeds from the sale or other disposition of any property of a type that can produce interest or dividends from sources within the United States (“Gross Proceeds”) paid to a foreign financial institution or to a “non-financial foreign entity” (as specially defined in the Code), unless (i) 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These rules generally apply to payments of FDAP Income currently and, while these rules generally would have applied to payments of relevant Gross Proceeds made on or after January 1, 2019, proposed Treasury Regulations eliminate these withholding taxes on payments of Gross Proceeds entirely. Unitholders generally may rely on these proposed Treasury Regulations until final Treasury Regulations are issued. Thus, to the extent we have FDAP Income that is not treated as effectively connected with a U.S. trade or business (please read “—Tax-Exempt Organizations and Other Investors”), unitholders who are foreign financial institutions or certain other foreign entities, or persons that hold their common units through such foreign entities, may be subject to withholding on distributions they receive from us, or their distributive share of our income, pursuant to the rules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Prospective common unitholders should consult their own tax advisors regarding the potential application of these withholding provisions to their investment in our common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Nominee Reporting </w:t>
      </w:r>
    </w:p>
    <w:p>
      <w:pPr>
        <w:pStyle w:val="TextBody"/>
        <w:bidi w:val="0"/>
        <w:spacing w:before="120" w:after="0"/>
        <w:jc w:val="left"/>
        <w:rPr>
          <w:rFonts w:ascii="Times New Roman" w:hAnsi="Times New Roman"/>
          <w:sz w:val="20"/>
        </w:rPr>
      </w:pPr>
      <w:r>
        <w:rPr>
          <w:rFonts w:ascii="Times New Roman" w:hAnsi="Times New Roman"/>
          <w:sz w:val="20"/>
        </w:rPr>
        <w:t xml:space="preserve">Persons who hold an interest in us as a nominee for another person are required to furnish to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address and taxpayer identification number of the beneficial owner and the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beneficial owner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0"/>
        <w:gridCol w:w="8882"/>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is not a U.S.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foreign government, an international organization or any wholly owned agency or instrumentality of either of the foregoing;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tax-exempt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and description of units held, acquired or transferred for the beneficial owner;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specific information including the dates of acquisitions and transfers, means of acquisitions and transfers, and acquisition cost for purchases, as well as the amount of net proceeds from dispositions.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Brokers and financial institutions are required to furnish additional information, including whether they are U.S. persons and specific information on units they acquire, hold or transfer for their own account. A penalty per failure, with a signicant penalty per calendar year, is imposed by the Code for failure to report that information to us. The nominee is required to supply the beneficial owner of the units with the information furnished to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Accuracy-Related Penalties </w:t>
      </w:r>
    </w:p>
    <w:p>
      <w:pPr>
        <w:pStyle w:val="TextBody"/>
        <w:bidi w:val="0"/>
        <w:spacing w:before="120" w:after="0"/>
        <w:jc w:val="left"/>
        <w:rPr>
          <w:rFonts w:ascii="Times New Roman" w:hAnsi="Times New Roman"/>
          <w:sz w:val="20"/>
        </w:rPr>
      </w:pPr>
      <w:r>
        <w:rPr>
          <w:rFonts w:ascii="Times New Roman" w:hAnsi="Times New Roman"/>
          <w:sz w:val="20"/>
        </w:rPr>
        <w:t xml:space="preserve">Certain penalties may be imposed on taxpayers as a result of an underpayment of tax that is attributable to one or more specified causes, including: (i) negligence or disregard of rules or regulations, (ii) substantial understatements of income tax, (iii) substantial valuation misstatements and (iv) the disallowance of claimed tax benefits by reason of a transaction lacking economic substance or failing to meet the requirements of any similar rule of law. Except with respect to the disallowance of claimed tax benefits by reason of a transaction lacking economic substance or failing to meet the requirements of any similar rule of law, however, no penalty will be imposed for any portion of any such underpayment if it is shown that there was a reasonable cause for the underpayment of that portion and that the taxpayer acted in good faith regarding the underpayment of that portion.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substantial understatements of income tax, the amount of any understatement subject to penalty generally is reduced by that portion of the understatement which is attributable to a position adopted on the return: (A) for which there is, or was, “substantial authority”; or (B) as to which there is a reasonable basis and the relevant facts of that position are adequately disclosed on the return. If any item of income, gain, loss or deduction included in the distributive shares of unitholders might result in that kind of an “understatement” of income for which no “substantial authority” exists, we must adequately disclose the relevant facts on our return. In addition, we will make a reasonable effort to furnish sufficient information for unitholders to make adequate disclosure on their returns and to take other actions as may be appropriate to permit unitholders to avoid liability for this penalty. </w:t>
      </w:r>
    </w:p>
    <w:p>
      <w:pPr>
        <w:pStyle w:val="TextBody"/>
        <w:bidi w:val="0"/>
        <w:spacing w:before="360" w:after="0"/>
        <w:jc w:val="left"/>
        <w:rPr>
          <w:rFonts w:ascii="Times New Roman" w:hAnsi="Times New Roman"/>
          <w:b/>
          <w:sz w:val="20"/>
        </w:rPr>
      </w:pPr>
      <w:r>
        <w:rPr>
          <w:rFonts w:ascii="Times New Roman" w:hAnsi="Times New Roman"/>
          <w:b/>
          <w:sz w:val="20"/>
        </w:rPr>
        <w:t xml:space="preserve">Recent Legislative Developments </w:t>
      </w:r>
    </w:p>
    <w:p>
      <w:pPr>
        <w:pStyle w:val="TextBody"/>
        <w:bidi w:val="0"/>
        <w:spacing w:before="120" w:after="0"/>
        <w:jc w:val="left"/>
        <w:rPr>
          <w:rFonts w:ascii="Times New Roman" w:hAnsi="Times New Roman"/>
          <w:sz w:val="20"/>
        </w:rPr>
      </w:pPr>
      <w:r>
        <w:rPr>
          <w:rFonts w:ascii="Times New Roman" w:hAnsi="Times New Roman"/>
          <w:sz w:val="20"/>
        </w:rPr>
        <w:t xml:space="preserve">The present federal income tax treatment of publicly traded partnerships, including us, or an investment in our common units may be modified by administrative, legislative or judicial interpretation at any time. For example, from time to time, members of Congress and the President propose and consider substantive changes to the existing federal income tax laws that affect publicly traded partnerships, including the elimination of partnership tax treatment for publicly traded partnerships. </w:t>
      </w:r>
    </w:p>
    <w:p>
      <w:pPr>
        <w:pStyle w:val="TextBody"/>
        <w:bidi w:val="0"/>
        <w:spacing w:before="240" w:after="0"/>
        <w:jc w:val="left"/>
        <w:rPr>
          <w:rFonts w:ascii="Times New Roman" w:hAnsi="Times New Roman"/>
          <w:sz w:val="20"/>
        </w:rPr>
      </w:pPr>
      <w:r>
        <w:rPr>
          <w:rFonts w:ascii="Times New Roman" w:hAnsi="Times New Roman"/>
          <w:sz w:val="20"/>
        </w:rPr>
        <w:t xml:space="preserve">Any modification to the federal income tax laws and interpretations thereof may or may not be retroactively applied and could make it more difficult or impossible to meet the exception for us to be treated as a partnership for federal income tax purposes. Please read “—Partnership Status.” We are unable to predict whether any such changes will ultimately be enacted. However, it is possible that a change in law could affect us, and any such changes could negatively impact the value of an investment in our common units. </w:t>
      </w:r>
    </w:p>
    <w:p>
      <w:pPr>
        <w:pStyle w:val="TextBody"/>
        <w:bidi w:val="0"/>
        <w:spacing w:before="360" w:after="0"/>
        <w:jc w:val="left"/>
        <w:rPr>
          <w:rFonts w:ascii="Times New Roman" w:hAnsi="Times New Roman"/>
          <w:b/>
          <w:sz w:val="20"/>
        </w:rPr>
      </w:pPr>
      <w:r>
        <w:rPr>
          <w:rFonts w:ascii="Times New Roman" w:hAnsi="Times New Roman"/>
          <w:b/>
          <w:sz w:val="20"/>
        </w:rPr>
        <w:t xml:space="preserve">State, Local, Foreign and Other 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federal income taxes, you will likely be subject to other taxes, such as state, local and foreign income taxes, unincorporated business taxes, and estate, inheritance or intangible taxes that may be imposed by the various jurisdictions in which we do business or own property or in which you are a resident. Although an analysis of those various taxes is not presented here, each prospective common unitholder should consider their potential impact on his investment in us. We currently own property or does business in many states. Several of these states impose a personal income tax on individuals; certain of these states also impose an income tax on corporations and other entities. We may also own property or do business in other jurisdictions in the future. Although you may not be required to file a return and pay taxes in some jurisdictions because your income from that jurisdiction falls below the filing and payment requirement, you will be required to file income tax returns and to pay income taxes in many of these jurisdictions in which we do business or own property and may be subject to penalties for failure to comply with those requirements. In some jurisdictions, tax losses may not produce a tax benefit in the year incurred and may not be available to offset income in subsequent taxable years. Some of the jurisdictions may require us, or we may elect, to withhold a percentage of income from amounts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Amounts withheld will be treated as if distributed to unitholders for purposes of determining the amounts distributed by us. Please read “—Tax Consequences of Unit Ownership—Entity-Level Collections.” Based on current law and our estimate of our future operations, our general partner anticipates that any amounts required to be withheld will not be material. </w:t>
      </w:r>
    </w:p>
    <w:p>
      <w:pPr>
        <w:pStyle w:val="TextBody"/>
        <w:bidi w:val="0"/>
        <w:spacing w:before="240" w:after="0"/>
        <w:jc w:val="left"/>
        <w:rPr>
          <w:rFonts w:ascii="Times New Roman" w:hAnsi="Times New Roman"/>
          <w:b/>
          <w:sz w:val="20"/>
        </w:rPr>
      </w:pPr>
      <w:r>
        <w:rPr>
          <w:rFonts w:ascii="Times New Roman" w:hAnsi="Times New Roman"/>
          <w:b/>
          <w:sz w:val="20"/>
        </w:rPr>
        <w:t xml:space="preserve">It is the responsibility of each unitholder to investigate the legal and tax consequences, under the laws of pertinent states, localities and foreign jurisdictions, of his investment in us. Accordingly, each prospective common unitholder is urged to consult his own tax counsel or other advisor with regard to those matters. Further, it is the responsibility of each unitholder to file all state, local and foreign, as well as U.S. federal tax returns, that may be required of him. Latham &amp; Watkins LLP has not rendered an opinion on the state tax, local tax, alternative minimum tax or foreign tax consequences of an investment in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77574_15"/>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in this prospectus will be passed upon for us by Latham &amp; Watkins LLP, Houston, Texas. Latham &amp; Watkins LLP will also render an opinion on the material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 </w:t>
      </w:r>
    </w:p>
    <w:p>
      <w:pPr>
        <w:pStyle w:val="TextBody"/>
        <w:bidi w:val="0"/>
        <w:spacing w:before="480" w:after="0"/>
        <w:jc w:val="center"/>
        <w:rPr>
          <w:rFonts w:ascii="Times New Roman" w:hAnsi="Times New Roman"/>
          <w:b/>
          <w:sz w:val="20"/>
        </w:rPr>
      </w:pPr>
      <w:bookmarkStart w:id="30" w:name="tx77574_16"/>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audited consolidated financial statements of Energy Transfer LP and subsidiaries and management’s assessment of the effectiveness of internal control over financial reporting incorporated by reference in this registration statement have been so incorporated by reference in reliance upon the reports of Grant Thornton LLP, independent registered public accountants,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040255" cy="6178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8"/>
                    <a:stretch>
                      <a:fillRect/>
                    </a:stretch>
                  </pic:blipFill>
                  <pic:spPr bwMode="auto">
                    <a:xfrm>
                      <a:off x="0" y="0"/>
                      <a:ext cx="2040255" cy="61785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48"/>
        </w:rPr>
      </w:pPr>
      <w:r>
        <w:rPr>
          <w:rFonts w:ascii="Times New Roman" w:hAnsi="Times New Roman"/>
          <w:b/>
          <w:sz w:val="48"/>
        </w:rPr>
        <w:t xml:space="preserve">Energy Transfer LP </w:t>
      </w:r>
    </w:p>
    <w:p>
      <w:pPr>
        <w:pStyle w:val="TextBody"/>
        <w:bidi w:val="0"/>
        <w:spacing w:before="120" w:after="0"/>
        <w:jc w:val="center"/>
        <w:rPr>
          <w:rFonts w:ascii="Times New Roman" w:hAnsi="Times New Roman"/>
          <w:b/>
          <w:sz w:val="32"/>
        </w:rPr>
      </w:pPr>
      <w:r>
        <w:rPr>
          <w:rFonts w:ascii="Times New Roman" w:hAnsi="Times New Roman"/>
          <w:b/>
          <w:sz w:val="32"/>
        </w:rPr>
        <w:t xml:space="preserve">$   Series 2026A Junior Subordinated Notes due 2057 </w:t>
      </w:r>
    </w:p>
    <w:p>
      <w:pPr>
        <w:pStyle w:val="TextBody"/>
        <w:bidi w:val="0"/>
        <w:spacing w:before="120" w:after="0"/>
        <w:jc w:val="center"/>
        <w:rPr>
          <w:rFonts w:ascii="Times New Roman" w:hAnsi="Times New Roman"/>
          <w:b/>
          <w:sz w:val="32"/>
        </w:rPr>
      </w:pPr>
      <w:r>
        <w:rPr>
          <w:rFonts w:ascii="Times New Roman" w:hAnsi="Times New Roman"/>
          <w:b/>
          <w:sz w:val="32"/>
        </w:rPr>
        <w:t xml:space="preserve">$    Series 2026B Junior Subordinated Notes due 2057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120" w:after="0"/>
        <w:jc w:val="center"/>
        <w:rPr>
          <w:rFonts w:ascii="Times New Roman" w:hAnsi="Times New Roman"/>
          <w:b/>
          <w:sz w:val="32"/>
        </w:rPr>
      </w:pPr>
      <w:r>
        <w:rPr>
          <w:rFonts w:ascii="Times New Roman" w:hAnsi="Times New Roman"/>
          <w:b/>
          <w:sz w:val="32"/>
        </w:rPr>
        <w:t xml:space="preserve">Citigroup </w:t>
      </w:r>
    </w:p>
    <w:p>
      <w:pPr>
        <w:pStyle w:val="TextBody"/>
        <w:bidi w:val="0"/>
        <w:spacing w:before="120" w:after="0"/>
        <w:jc w:val="center"/>
        <w:rPr>
          <w:rFonts w:ascii="Times New Roman" w:hAnsi="Times New Roman"/>
          <w:b/>
          <w:sz w:val="32"/>
        </w:rPr>
      </w:pPr>
      <w:r>
        <w:rPr>
          <w:rFonts w:ascii="Times New Roman" w:hAnsi="Times New Roman"/>
          <w:b/>
          <w:sz w:val="32"/>
        </w:rPr>
        <w:t xml:space="preserve">J.P. Morgan </w:t>
      </w:r>
    </w:p>
    <w:p>
      <w:pPr>
        <w:pStyle w:val="TextBody"/>
        <w:bidi w:val="0"/>
        <w:spacing w:before="120" w:after="0"/>
        <w:jc w:val="center"/>
        <w:rPr>
          <w:rFonts w:ascii="Times New Roman" w:hAnsi="Times New Roman"/>
          <w:b/>
          <w:sz w:val="32"/>
        </w:rPr>
      </w:pPr>
      <w:r>
        <w:rPr>
          <w:rFonts w:ascii="Times New Roman" w:hAnsi="Times New Roman"/>
          <w:b/>
          <w:sz w:val="32"/>
        </w:rPr>
        <w:t xml:space="preserve">PNC Capital Markets LLC </w:t>
      </w:r>
    </w:p>
    <w:p>
      <w:pPr>
        <w:pStyle w:val="TextBody"/>
        <w:bidi w:val="0"/>
        <w:spacing w:before="120" w:after="0"/>
        <w:jc w:val="center"/>
        <w:rPr>
          <w:rFonts w:ascii="Times New Roman" w:hAnsi="Times New Roman"/>
          <w:b/>
          <w:sz w:val="32"/>
        </w:rPr>
      </w:pPr>
      <w:r>
        <w:rPr>
          <w:rFonts w:ascii="Times New Roman" w:hAnsi="Times New Roman"/>
          <w:b/>
          <w:sz w:val="32"/>
        </w:rPr>
        <w:t xml:space="preserve">TD Securities </w:t>
      </w:r>
    </w:p>
    <w:p>
      <w:pPr>
        <w:pStyle w:val="TextBody"/>
        <w:bidi w:val="0"/>
        <w:spacing w:before="120" w:after="0"/>
        <w:jc w:val="center"/>
        <w:rPr>
          <w:rFonts w:ascii="Times New Roman" w:hAnsi="Times New Roman"/>
          <w:b/>
          <w:sz w:val="32"/>
        </w:rPr>
      </w:pPr>
      <w:r>
        <w:rPr>
          <w:rFonts w:ascii="Times New Roman" w:hAnsi="Times New Roman"/>
          <w:b/>
          <w:sz w:val="32"/>
        </w:rPr>
        <w:t xml:space="preserve">Truist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276187/000127618726000013/et-20251231.htm" TargetMode="External"/><Relationship Id="rId4" Type="http://schemas.openxmlformats.org/officeDocument/2006/relationships/hyperlink" Target="http://www.sec.gov/Archives/edgar/data/1276187/000127618726000026/et-20260331.htm" TargetMode="External"/><Relationship Id="rId5" Type="http://schemas.openxmlformats.org/officeDocument/2006/relationships/hyperlink" Target="http://www.sec.gov/Archives/edgar/data/1276187/000119312526011876/d91877d8k.htm" TargetMode="External"/><Relationship Id="rId6" Type="http://schemas.openxmlformats.org/officeDocument/2006/relationships/hyperlink" Target="http://www.sec.gov/Archives/edgar/data/1276187/000119312526024378/d64050d8k.htm" TargetMode="External"/><Relationship Id="rId7" Type="http://schemas.openxmlformats.org/officeDocument/2006/relationships/hyperlink" Target="http://www.sec.gov/Archives/edgar/data/1276187/000127618726000030/et-20260601.htm" TargetMode="External"/><Relationship Id="rId8" Type="http://schemas.openxmlformats.org/officeDocument/2006/relationships/hyperlink" Target="http://www.sec.gov/Archives/edgar/data/1276187/000119312526295529/d109647d8k12b.htm" TargetMode="External"/><Relationship Id="rId9" Type="http://schemas.openxmlformats.org/officeDocument/2006/relationships/image" Target="media/image2.jpeg"/><Relationship Id="rId10" Type="http://schemas.openxmlformats.org/officeDocument/2006/relationships/hyperlink" Target="http://www.sec.gov/Archives/edgar/data/../../../ix?doc=/Archives/edgar/data/1276187/000127618724000024/et-20231231.htm" TargetMode="External"/><Relationship Id="rId11" Type="http://schemas.openxmlformats.org/officeDocument/2006/relationships/hyperlink" Target="http://www.sec.gov/Archives/edgar/data/../../../ix?doc=/Archives/edgar/data/1276187/000127618724000040/et-20240331.htm" TargetMode="External"/><Relationship Id="rId12" Type="http://schemas.openxmlformats.org/officeDocument/2006/relationships/hyperlink" Target="http://www.sec.gov/Archives/edgar/data/../../../ix?doc=/Archives/edgar/data/1276187/000119312524006631/d714749d8k.htm" TargetMode="External"/><Relationship Id="rId13" Type="http://schemas.openxmlformats.org/officeDocument/2006/relationships/hyperlink" Target="http://www.sec.gov/Archives/edgar/data/../../../ix?doc=/Archives/edgar/data/1276187/000119312524015450/d751351d8k.htm" TargetMode="External"/><Relationship Id="rId14" Type="http://schemas.openxmlformats.org/officeDocument/2006/relationships/hyperlink" Target="http://www.sec.gov/Archives/edgar/data/../../../ix?doc=/Archives/edgar/data/1276187/000127618724000004/et-20240125.htm" TargetMode="External"/><Relationship Id="rId15" Type="http://schemas.openxmlformats.org/officeDocument/2006/relationships/hyperlink" Target="http://www.sec.gov/Archives/edgar/data/../../../ix?doc=/Archives/edgar/data/1276187/000127618724000030/et-20240424.htm" TargetMode="External"/><Relationship Id="rId16" Type="http://schemas.openxmlformats.org/officeDocument/2006/relationships/hyperlink" Target="http://www.sec.gov/Archives/edgar/data/../../../ix?doc=/Archives/edgar/data/1276187/000127618724000044/et-20240528.htm" TargetMode="External"/><Relationship Id="rId17" Type="http://schemas.openxmlformats.org/officeDocument/2006/relationships/hyperlink" Target="http://www.sec.gov/Archives/edgar/data/1276187/000119312506015822/d8a12b.htm" TargetMode="External"/><Relationship Id="rId18" Type="http://schemas.openxmlformats.org/officeDocument/2006/relationships/image" Target="media/image1.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143</Pages>
  <Words>62765</Words>
  <Characters>325494</Characters>
  <CharactersWithSpaces>389328</CharactersWithSpaces>
  <Paragraphs>3404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