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0" w:lineRule="exact"/>
        <w:rPr>
          <w:sz w:val="24"/>
          <w:szCs w:val="24"/>
          <w:color w:val="auto"/>
        </w:rPr>
      </w:pPr>
    </w:p>
    <w:p>
      <w:pPr>
        <w:ind w:left="1380" w:hanging="305"/>
        <w:spacing w:after="0"/>
        <w:tabs>
          <w:tab w:leader="none" w:pos="1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jc w:val="center"/>
        <w:ind w:left="4360" w:right="880" w:hanging="3470"/>
        <w:spacing w:after="0" w:line="286" w:lineRule="auto"/>
        <w:tabs>
          <w:tab w:leader="none" w:pos="120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1-32740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-24130</wp:posOffset>
            </wp:positionV>
            <wp:extent cx="156845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ENERGY TRANSFER LP</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223" w:right="339" w:bottom="1440" w:gutter="0" w:footer="0" w:header="0"/>
        </w:sectPr>
      </w:pPr>
    </w:p>
    <w:p>
      <w:pPr>
        <w:spacing w:after="0" w:line="120"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30-0108820</w:t>
      </w:r>
    </w:p>
    <w:p>
      <w:pPr>
        <w:spacing w:after="0" w:line="31" w:lineRule="exact"/>
        <w:rPr>
          <w:sz w:val="24"/>
          <w:szCs w:val="24"/>
          <w:color w:val="auto"/>
        </w:rPr>
      </w:pPr>
    </w:p>
    <w:p>
      <w:pPr>
        <w:sectPr>
          <w:pgSz w:w="11900" w:h="16838" w:orient="portrait"/>
          <w:cols w:equalWidth="0" w:num="2">
            <w:col w:w="7360" w:space="720"/>
            <w:col w:w="3160"/>
          </w:cols>
          <w:pgMar w:left="320" w:top="22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60"/>
          </w:cols>
          <w:pgMar w:left="320" w:top="2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Westchester Drive, Suite 600, Dallas, Texas 75225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7"/>
          <w:szCs w:val="17"/>
          <w:b w:val="1"/>
          <w:bCs w:val="1"/>
          <w:color w:val="auto"/>
        </w:rPr>
        <w:t>(214) 981-0700</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Trading Symbol(s)</w:t>
            </w:r>
          </w:p>
        </w:tc>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ET</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jc w:val="center"/>
              <w:ind w:right="116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7.375% Series C Fixed-to-Floating Rate Cumulative Redeemable</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ETprC</w:t>
            </w:r>
          </w:p>
        </w:tc>
        <w:tc>
          <w:tcPr>
            <w:tcW w:w="1260" w:type="dxa"/>
            <w:vAlign w:val="bottom"/>
          </w:tcPr>
          <w:p>
            <w:pPr>
              <w:spacing w:after="0"/>
              <w:rPr>
                <w:sz w:val="13"/>
                <w:szCs w:val="13"/>
                <w:color w:val="auto"/>
              </w:rPr>
            </w:pPr>
          </w:p>
        </w:tc>
        <w:tc>
          <w:tcPr>
            <w:tcW w:w="3100" w:type="dxa"/>
            <w:vAlign w:val="bottom"/>
            <w:vMerge w:val="restart"/>
          </w:tcPr>
          <w:p>
            <w:pPr>
              <w:jc w:val="center"/>
              <w:ind w:right="116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3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7.625% Series D Fixed-to-Floating Rate Cumulative Redeemable</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ETprD</w:t>
            </w:r>
          </w:p>
        </w:tc>
        <w:tc>
          <w:tcPr>
            <w:tcW w:w="1260" w:type="dxa"/>
            <w:vAlign w:val="bottom"/>
          </w:tcPr>
          <w:p>
            <w:pPr>
              <w:spacing w:after="0"/>
              <w:rPr>
                <w:sz w:val="12"/>
                <w:szCs w:val="12"/>
                <w:color w:val="auto"/>
              </w:rPr>
            </w:pPr>
          </w:p>
        </w:tc>
        <w:tc>
          <w:tcPr>
            <w:tcW w:w="3100" w:type="dxa"/>
            <w:vAlign w:val="bottom"/>
            <w:vMerge w:val="restart"/>
          </w:tcPr>
          <w:p>
            <w:pPr>
              <w:jc w:val="center"/>
              <w:ind w:right="116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3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7.600% Series E Fixed-to-Floating Rate Cumulative Redeemable</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ETprE</w:t>
            </w:r>
          </w:p>
        </w:tc>
        <w:tc>
          <w:tcPr>
            <w:tcW w:w="1260" w:type="dxa"/>
            <w:vAlign w:val="bottom"/>
          </w:tcPr>
          <w:p>
            <w:pPr>
              <w:spacing w:after="0"/>
              <w:rPr>
                <w:sz w:val="12"/>
                <w:szCs w:val="12"/>
                <w:color w:val="auto"/>
              </w:rPr>
            </w:pPr>
          </w:p>
        </w:tc>
        <w:tc>
          <w:tcPr>
            <w:tcW w:w="3100" w:type="dxa"/>
            <w:vAlign w:val="bottom"/>
            <w:vMerge w:val="restart"/>
          </w:tcPr>
          <w:p>
            <w:pPr>
              <w:jc w:val="center"/>
              <w:ind w:right="116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3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8100" w:type="dxa"/>
            <w:vAlign w:val="bottom"/>
            <w:gridSpan w:val="5"/>
          </w:tcPr>
          <w:p>
            <w:pPr>
              <w:jc w:val="center"/>
              <w:ind w:left="3046"/>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3100" w:type="dxa"/>
            <w:vAlign w:val="bottom"/>
          </w:tcPr>
          <w:p>
            <w:pPr>
              <w:jc w:val="center"/>
              <w:ind w:right="2285"/>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1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3100" w:type="dxa"/>
            <w:vAlign w:val="bottom"/>
          </w:tcPr>
          <w:p>
            <w:pPr>
              <w:jc w:val="center"/>
              <w:ind w:right="2285"/>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 w:leader="none" w:pos="7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9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aggregate market value as of June 30, 2022, of the registrant’s Common Units held by non-affiliates of the registrant, based on the reported closing price of such Common Units on the New York Stock Exchange on such date, was $26.73 billion.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At February 10, 2023, the registrant had 3,094,593,760 Common Units outstanding.</w:t>
      </w:r>
    </w:p>
    <w:p>
      <w:pPr>
        <w:spacing w:after="0" w:line="12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2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PAGE</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8700" w:type="dxa"/>
            <w:vAlign w:val="bottom"/>
            <w:gridSpan w:val="30"/>
          </w:tcPr>
          <w:p>
            <w:pPr>
              <w:spacing w:after="0"/>
              <w:rPr>
                <w:sz w:val="24"/>
                <w:szCs w:val="24"/>
                <w:color w:val="auto"/>
              </w:rPr>
            </w:pPr>
          </w:p>
        </w:tc>
        <w:tc>
          <w:tcPr>
            <w:tcW w:w="36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00" w:type="dxa"/>
            <w:vAlign w:val="bottom"/>
            <w:gridSpan w:val="28"/>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PROPERTIES</w:t>
            </w:r>
          </w:p>
        </w:tc>
        <w:tc>
          <w:tcPr>
            <w:tcW w:w="1780" w:type="dxa"/>
            <w:vAlign w:val="bottom"/>
            <w:gridSpan w:val="9"/>
          </w:tcPr>
          <w:p>
            <w:pPr>
              <w:spacing w:after="0"/>
              <w:rPr>
                <w:sz w:val="22"/>
                <w:szCs w:val="22"/>
                <w:color w:val="auto"/>
              </w:rPr>
            </w:pPr>
          </w:p>
        </w:tc>
        <w:tc>
          <w:tcPr>
            <w:tcW w:w="6740" w:type="dxa"/>
            <w:vAlign w:val="bottom"/>
            <w:gridSpan w:val="20"/>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800" w:type="dxa"/>
            <w:vAlign w:val="bottom"/>
            <w:gridSpan w:val="11"/>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MARKET FOR REGISTRANT’S COMMON UNITS, RELATED UNITHOLDER MATTERS AND ISSUER PURCHASES</w:t>
            </w:r>
          </w:p>
        </w:tc>
        <w:tc>
          <w:tcPr>
            <w:tcW w:w="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2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OF EQUITY SECURITIES</w:t>
            </w: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gridSpan w:val="3"/>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40" w:type="dxa"/>
            <w:vAlign w:val="bottom"/>
            <w:gridSpan w:val="2"/>
            <w:shd w:val="clear" w:color="auto" w:fill="0000FF"/>
          </w:tcPr>
          <w:p>
            <w:pPr>
              <w:spacing w:after="0"/>
              <w:rPr>
                <w:sz w:val="2"/>
                <w:szCs w:val="2"/>
                <w:color w:val="auto"/>
              </w:rPr>
            </w:pPr>
          </w:p>
        </w:tc>
        <w:tc>
          <w:tcPr>
            <w:tcW w:w="860" w:type="dxa"/>
            <w:vAlign w:val="bottom"/>
            <w:tcBorders>
              <w:left w:val="single" w:sz="8" w:color="0000FF"/>
            </w:tcBorders>
            <w:gridSpan w:val="3"/>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[RESERVED]</w:t>
            </w:r>
          </w:p>
        </w:tc>
        <w:tc>
          <w:tcPr>
            <w:tcW w:w="7520" w:type="dxa"/>
            <w:vAlign w:val="bottom"/>
            <w:gridSpan w:val="24"/>
          </w:tcPr>
          <w:p>
            <w:pPr>
              <w:spacing w:after="0"/>
              <w:rPr>
                <w:sz w:val="23"/>
                <w:szCs w:val="23"/>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640" w:type="dxa"/>
            <w:vAlign w:val="bottom"/>
            <w:gridSpan w:val="3"/>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3"/>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126</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61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420" w:type="dxa"/>
            <w:vAlign w:val="bottom"/>
            <w:gridSpan w:val="7"/>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129</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5"/>
          </w:tcPr>
          <w:p>
            <w:pPr>
              <w:spacing w:after="0"/>
              <w:rPr>
                <w:sz w:val="22"/>
                <w:szCs w:val="22"/>
                <w:color w:val="auto"/>
              </w:rPr>
            </w:pPr>
          </w:p>
        </w:tc>
        <w:tc>
          <w:tcPr>
            <w:tcW w:w="6960" w:type="dxa"/>
            <w:vAlign w:val="bottom"/>
            <w:gridSpan w:val="21"/>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131</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160" w:type="dxa"/>
            <w:vAlign w:val="bottom"/>
            <w:tcBorders>
              <w:top w:val="single" w:sz="8" w:color="0000FF"/>
            </w:tcBorders>
            <w:gridSpan w:val="3"/>
          </w:tcPr>
          <w:p>
            <w:pPr>
              <w:spacing w:after="0"/>
              <w:rPr>
                <w:sz w:val="22"/>
                <w:szCs w:val="22"/>
                <w:color w:val="auto"/>
              </w:rPr>
            </w:pPr>
          </w:p>
        </w:tc>
        <w:tc>
          <w:tcPr>
            <w:tcW w:w="2600" w:type="dxa"/>
            <w:vAlign w:val="bottom"/>
            <w:gridSpan w:val="6"/>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24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3340" w:type="dxa"/>
            <w:vAlign w:val="bottom"/>
            <w:tcBorders>
              <w:top w:val="single" w:sz="8" w:color="0000FF"/>
            </w:tcBorders>
            <w:gridSpan w:val="14"/>
          </w:tcPr>
          <w:p>
            <w:pPr>
              <w:spacing w:after="0"/>
              <w:rPr>
                <w:sz w:val="22"/>
                <w:szCs w:val="22"/>
                <w:color w:val="auto"/>
              </w:rPr>
            </w:pPr>
          </w:p>
        </w:tc>
        <w:tc>
          <w:tcPr>
            <w:tcW w:w="3760" w:type="dxa"/>
            <w:vAlign w:val="bottom"/>
            <w:gridSpan w:val="8"/>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138</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vMerge w:val="restart"/>
          </w:tcPr>
          <w:p>
            <w:pPr>
              <w:spacing w:after="0"/>
              <w:rPr>
                <w:sz w:val="22"/>
                <w:szCs w:val="22"/>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UNITHOLDER MATTERS</w:t>
            </w:r>
          </w:p>
        </w:tc>
        <w:tc>
          <w:tcPr>
            <w:tcW w:w="4040" w:type="dxa"/>
            <w:vAlign w:val="bottom"/>
            <w:tcBorders>
              <w:top w:val="single" w:sz="8" w:color="0000FF"/>
            </w:tcBorders>
            <w:gridSpan w:val="15"/>
          </w:tcPr>
          <w:p>
            <w:pPr>
              <w:spacing w:after="0"/>
              <w:rPr>
                <w:sz w:val="14"/>
                <w:szCs w:val="14"/>
                <w:color w:val="auto"/>
              </w:rPr>
            </w:pPr>
          </w:p>
        </w:tc>
        <w:tc>
          <w:tcPr>
            <w:tcW w:w="1540" w:type="dxa"/>
            <w:vAlign w:val="bottom"/>
            <w:gridSpan w:val="4"/>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77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60" w:type="dxa"/>
            <w:vAlign w:val="bottom"/>
            <w:gridSpan w:val="5"/>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156</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16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17"/>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1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157</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2540" w:type="dxa"/>
            <w:vAlign w:val="bottom"/>
            <w:tcBorders>
              <w:top w:val="single" w:sz="8" w:color="0000FF"/>
            </w:tcBorders>
            <w:gridSpan w:val="12"/>
          </w:tcPr>
          <w:p>
            <w:pPr>
              <w:spacing w:after="0"/>
              <w:rPr>
                <w:sz w:val="22"/>
                <w:szCs w:val="22"/>
                <w:color w:val="auto"/>
              </w:rPr>
            </w:pPr>
          </w:p>
        </w:tc>
        <w:tc>
          <w:tcPr>
            <w:tcW w:w="5120" w:type="dxa"/>
            <w:vAlign w:val="bottom"/>
            <w:gridSpan w:val="14"/>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158</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certain acronyms and terms used throughout this document: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day</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non-GAAP measure defined as earnings before interest, taxes, depreciation, depletion, amortization and other non-cash</w:t>
            </w:r>
          </w:p>
        </w:tc>
      </w:tr>
      <w:tr>
        <w:trPr>
          <w:trHeight w:val="176"/>
        </w:trPr>
        <w:tc>
          <w:tcPr>
            <w:tcW w:w="2100" w:type="dxa"/>
            <w:vAlign w:val="bottom"/>
          </w:tcPr>
          <w:p>
            <w:pPr>
              <w:spacing w:after="0"/>
              <w:rPr>
                <w:sz w:val="15"/>
                <w:szCs w:val="15"/>
                <w:color w:val="auto"/>
              </w:rPr>
            </w:pP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items, as further described in “Item 7. Management’s Discussion and Analysis of Financial Condition and Results of</w:t>
            </w: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 Results of Operations”</w:t>
            </w:r>
          </w:p>
        </w:tc>
      </w:tr>
      <w:tr>
        <w:trPr>
          <w:trHeight w:val="292"/>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AROs</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retirement obligations</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BBtu</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billion British thermal units</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Bcf</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Btu</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British thermal unit, an energy measurement used by gas companies to convert the volume of gas used to its heat</w:t>
            </w: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 and thus calculate the actual energy content</w:t>
            </w:r>
          </w:p>
        </w:tc>
      </w:tr>
      <w:tr>
        <w:trPr>
          <w:trHeight w:val="238"/>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Capacity</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capacity of a pipeline, processing plant or storage facility refers to the maximum capacity under normal operating</w:t>
            </w:r>
          </w:p>
        </w:tc>
      </w:tr>
      <w:tr>
        <w:trPr>
          <w:trHeight w:val="176"/>
        </w:trPr>
        <w:tc>
          <w:tcPr>
            <w:tcW w:w="2100" w:type="dxa"/>
            <w:vAlign w:val="bottom"/>
          </w:tcPr>
          <w:p>
            <w:pPr>
              <w:spacing w:after="0"/>
              <w:rPr>
                <w:sz w:val="15"/>
                <w:szCs w:val="15"/>
                <w:color w:val="auto"/>
              </w:rPr>
            </w:pP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conditions and, with respect to pipeline transportation capacity, is subject to multiple factors (including natural gas</w:t>
            </w:r>
          </w:p>
        </w:tc>
      </w:tr>
      <w:tr>
        <w:trPr>
          <w:trHeight w:val="184"/>
        </w:trPr>
        <w:tc>
          <w:tcPr>
            <w:tcW w:w="2100" w:type="dxa"/>
            <w:vAlign w:val="bottom"/>
          </w:tcPr>
          <w:p>
            <w:pPr>
              <w:spacing w:after="0"/>
              <w:rPr>
                <w:sz w:val="16"/>
                <w:szCs w:val="16"/>
                <w:color w:val="auto"/>
              </w:rPr>
            </w:pPr>
          </w:p>
        </w:tc>
        <w:tc>
          <w:tcPr>
            <w:tcW w:w="91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injections and withdrawals at various delivery points along the pipeline and the utilization of compression) which may</w:t>
            </w: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reduce the throughput capacity from specified capacity levels</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Citrus</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Citrus, LLC, a 50/50 joint venture which owns FGT</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Dakota Access</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Dakota Access, LLC, a non-wholly-owned subsidiary of Energy Transfer</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DOE</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Energy</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DOJ</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Justice</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Transportation</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Enable</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Enable Midstream Partners, LP, a Delaware limited partnership</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Canada</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Transfer Canada ULC, a non-wholly-owned subsidiary of Energy Transfer until its sale in August 2022</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GC NGL</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Transfer GC NGLs LLC, formerly Lone Star NGL LLC, a wholly-owned subsidiary of Energy Transfer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Preferred</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Collectively, the Series A Preferred Units, Series B Preferred Units, Series C Preferred Units, Series D Preferred Units,</w:t>
            </w:r>
          </w:p>
        </w:tc>
      </w:tr>
      <w:tr>
        <w:trPr>
          <w:trHeight w:val="234"/>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E Preferred Units, Series F Preferred Units, Series G Preferred Units and Series H Preferred Units</w:t>
            </w:r>
          </w:p>
        </w:tc>
      </w:tr>
      <w:tr>
        <w:trPr>
          <w:trHeight w:val="292"/>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R&amp;M</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Transfer (R&amp;M), LLC (formerly Sunoco (R&amp;M), LLC)</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ETC Sunoco</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ETC Sunoco Holdings LLC (formerly Sunoco, Inc.), a wholly-owned subsidiary of Energy Transfer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ETO</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Transfer Operating, L.P., formerly a non-wholly-owned subsidiary of Energy Transfer until its merger into the</w:t>
            </w: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Partnership in April 2021</w:t>
            </w:r>
          </w:p>
        </w:tc>
      </w:tr>
      <w:tr>
        <w:trPr>
          <w:trHeight w:val="292"/>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 Holdco</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ETP Holdco Corporation, a wholly-owned subsidiary of Energy Transfer</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Explorer</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Explorer Pipeline and/or Explorer Pipeline Company</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FEP</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Fayetteville Express Pipeline LLC</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Federal Energy Regulatory Commission</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FGT</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Florida Gas Transmission Pipeline and/or Florida Gas Transmission Company, LLC, a wholly-owned subsidiary of Citrus</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8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 GP, LLC, the general partner of Energy Transfer</w:t>
            </w:r>
          </w:p>
        </w:tc>
      </w:tr>
      <w:tr>
        <w:trPr>
          <w:trHeight w:val="850"/>
        </w:trPr>
        <w:tc>
          <w:tcPr>
            <w:tcW w:w="2100" w:type="dxa"/>
            <w:vAlign w:val="bottom"/>
          </w:tcPr>
          <w:p>
            <w:pPr>
              <w:spacing w:after="0"/>
              <w:rPr>
                <w:sz w:val="24"/>
                <w:szCs w:val="24"/>
                <w:color w:val="auto"/>
              </w:rPr>
            </w:pPr>
          </w:p>
        </w:tc>
        <w:tc>
          <w:tcPr>
            <w:tcW w:w="91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100" w:type="dxa"/>
            <w:vAlign w:val="bottom"/>
            <w:tcBorders>
              <w:bottom w:val="single" w:sz="8" w:color="9A9A9A"/>
            </w:tcBorders>
          </w:tcPr>
          <w:p>
            <w:pPr>
              <w:spacing w:after="0"/>
              <w:rPr>
                <w:sz w:val="10"/>
                <w:szCs w:val="10"/>
                <w:color w:val="auto"/>
              </w:rPr>
            </w:pPr>
          </w:p>
        </w:tc>
        <w:tc>
          <w:tcPr>
            <w:tcW w:w="9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HFOTCO</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HFOTCO LLC, a wholly-owned subsidiary of Energy Transfer, which owns the Houston Terminal</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IDRs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distribution rights</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IFERC</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Inside FERC’s Gas Market Report</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9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United States Internal Revenue Service</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Charles LNG</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Lake Charles LNG Company, LLC, a 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Charles LNG Export</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Lake Charles LNG Export Company, LLC, a 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LNG</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liquefied natural gas</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MBbls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thousand barrels</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MEP</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Midcontinent Express Pipeline LLC</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Mid-Valley</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Mid-Valley Pipeline Company, a 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MMBbls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barrels</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MMcf</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cubic feet</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MTBE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methyl tertiary butyl ether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Act of 1938</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 such as propane, butane and natural gasoline</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NGPA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Policy Act of 1978</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Mercantile Exchange</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Ohio River System LLC, a non-wholly-owned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OSHA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Occupational Safety and Health Act</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OTC</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Panhandle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Panhandle Eastern Pipe Line Company, LP, a 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Agreement</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Transfer’s Third Amended and Restated Agreement of Limited Partnership, as amended to date</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PCBs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polychlorinated biphenyls</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PEP</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Permian Express Partners LLC, a non-wholly-owned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PHMSA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Pipeline Hazardous Materials Safety Administration</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Unitholders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Unitholders of the Series A Preferred Units, Series B Preferred Units, Series C Preferred Units, Series D Preferred Units,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E Preferred Units, Series F Preferred Units, Series G Preferred Units and Series H Preferred Units, collectively</w:t>
            </w:r>
          </w:p>
        </w:tc>
        <w:tc>
          <w:tcPr>
            <w:tcW w:w="0" w:type="dxa"/>
            <w:vAlign w:val="bottom"/>
          </w:tcPr>
          <w:p>
            <w:pPr>
              <w:spacing w:after="0"/>
              <w:rPr>
                <w:sz w:val="1"/>
                <w:szCs w:val="1"/>
                <w:color w:val="auto"/>
              </w:rPr>
            </w:pPr>
          </w:p>
        </w:tc>
      </w:tr>
      <w:tr>
        <w:trPr>
          <w:trHeight w:val="292"/>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Rover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Rover Pipeline and/or Rover Pipeline LLC, a non-wholly-owned subsidiary of Energy Transfer</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SCOOP</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Central Oklahoma Oil Province</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 Robin</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Robin Pipeline and/or Sea Robin Pipeline Company, LLC, a wholly-owned subsidiary of Energy Transfer</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0" w:type="dxa"/>
            <w:vAlign w:val="bottom"/>
          </w:tcPr>
          <w:p>
            <w:pPr>
              <w:spacing w:after="0"/>
              <w:rPr>
                <w:sz w:val="1"/>
                <w:szCs w:val="1"/>
                <w:color w:val="auto"/>
              </w:rPr>
            </w:pPr>
          </w:p>
        </w:tc>
      </w:tr>
      <w:tr>
        <w:trPr>
          <w:trHeight w:val="28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6.250% Series A Fixed-to-Floating Rate Cumulative Redeemable Perpetual Preferred Units</w:t>
            </w:r>
          </w:p>
        </w:tc>
        <w:tc>
          <w:tcPr>
            <w:tcW w:w="0" w:type="dxa"/>
            <w:vAlign w:val="bottom"/>
          </w:tcPr>
          <w:p>
            <w:pPr>
              <w:spacing w:after="0"/>
              <w:rPr>
                <w:sz w:val="1"/>
                <w:szCs w:val="1"/>
                <w:color w:val="auto"/>
              </w:rPr>
            </w:pPr>
          </w:p>
        </w:tc>
      </w:tr>
      <w:tr>
        <w:trPr>
          <w:trHeight w:val="28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6.625% Series B Fixed-to-Floating Rate Cumulative Redeemable Perpetual Preferred Units</w:t>
            </w:r>
          </w:p>
        </w:tc>
        <w:tc>
          <w:tcPr>
            <w:tcW w:w="0" w:type="dxa"/>
            <w:vAlign w:val="bottom"/>
          </w:tcPr>
          <w:p>
            <w:pPr>
              <w:spacing w:after="0"/>
              <w:rPr>
                <w:sz w:val="1"/>
                <w:szCs w:val="1"/>
                <w:color w:val="auto"/>
              </w:rPr>
            </w:pPr>
          </w:p>
        </w:tc>
      </w:tr>
      <w:tr>
        <w:trPr>
          <w:trHeight w:val="904"/>
        </w:trPr>
        <w:tc>
          <w:tcPr>
            <w:tcW w:w="2120" w:type="dxa"/>
            <w:vAlign w:val="bottom"/>
          </w:tcPr>
          <w:p>
            <w:pPr>
              <w:spacing w:after="0"/>
              <w:rPr>
                <w:sz w:val="24"/>
                <w:szCs w:val="24"/>
                <w:color w:val="auto"/>
              </w:rPr>
            </w:pPr>
          </w:p>
        </w:tc>
        <w:tc>
          <w:tcPr>
            <w:tcW w:w="91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9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7.375%</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 Fixed-to-Floating Rate Cumulative Redeemable Perpetual Preferred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D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7.625%</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 Fixed-to-Floating Rate Cumulative Redeemable Perpetual Preferred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E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7.600%</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E Fixed-to-Floating Rate Cumulative Redeemable Perpetual Preferred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F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6.750%</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Fixed-Rate Reset Cumulative Redeemable Perpetual Preferred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G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7.125%</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 Fixed-Rate Reset Cumulative Redeemable Perpetual Preferred Units</w:t>
            </w:r>
          </w:p>
        </w:tc>
      </w:tr>
      <w:tr>
        <w:trPr>
          <w:trHeight w:val="28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Series H Preferred Units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6.500%</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H Fixed-Rate Reset Cumulative Redeemable Perpetual Preferred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SESH</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Southeast Supply Header Pipeline and/or Southeast Supply Header, LLC</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Pan Gas Storage, LLC (d.b.a. Southwest Gas Storage Company), a wholly-owned subsidiary of Energy Transfer</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SPLP</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Sunoco Pipeline L.P., a wholly-owned subsidiary of Energy Transfer</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Tiger</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Tiger Pipeline and/or ETC Tiger Pipeline, LLC, a wholly-owned subsidiary of Energy Transfer</w:t>
            </w:r>
          </w:p>
        </w:tc>
      </w:tr>
      <w:tr>
        <w:trPr>
          <w:trHeight w:val="28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Transwestern</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Transwestern Pipeline and/or Transwestern Pipeline Company, LLC, a wholly-owned subsidiary of Energy Transfer</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TRRC</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Texas Railroad Commission</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Trunkline</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Trunkline Gas Company, LLC, a wholly-owned subsidiary of Energy Transfer</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Unitholders</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Unitholders and holders of Energy Transfer LP common units</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USAC</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USA Compression Partners, LP, a publicly traded partnership and consolidated subsidiary of Energy Transfer</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White Cliffs</w:t>
            </w:r>
          </w:p>
        </w:tc>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White Cliffs Pipeline, L.L.C.</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excluding historical information, as well as some statements by Energy Transfer LP (the “Partnership” or “Energy Transfer”)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“project,” “expect,” “plan,” “goal,” “forecast,” “estimate,” “intend,” “continue,” “could,” “believe,”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estimated, projected, forecasted, expressed or expected in forward-looking statements since many of the factors that determine these results are subject to uncertainties and risks that are difficult to predict and beyond management’s control. For additional discussion of risks, uncertainties and assumptions, see “Item 1A. Risk Factors” included in this annual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LP is a Delaware limited partnership with common units publicly traded on the NYSE under the ticker symbol “ET.”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“our,” the “Partnership” and “Energy Transfer” mean Energy Transfer LP and its consolidated subsidiaries, which include Sunoco LP and USAC.</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activities in which we are engaged, which are in the United States, and the operating subsidiaries through which we conduct those activities are as follows:</w:t>
      </w:r>
    </w:p>
    <w:p>
      <w:pPr>
        <w:spacing w:after="0" w:line="5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operations, including the following: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midstream and 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natural gas transportation and storage;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refined products transportation, terminalling services and acquisition and marketing activities, as well as NGL storage and fractionation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own investments in other businesses, including Sunoco LP and USAC, both of which are publicly traded master limited partnerships.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Transfer derives cash flows from distributions related to its investment in its subsidiaries, including Sunoco LP and USAC. The amount of cash that our subsidiaries distribute to us is based on earnings from their respective business activities and the amount of available cash. Energy Transfer’s primary cash requirements are for distributions to its partners, general and administrative expenses and debt service requirements. Energy Transfer distributes its available cash remaining after satisfaction of the aforementioned cash requirements to its Unitholders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subsidiaries to utilize their resources, along with cash from their operations, to fund their announced growth capital expenditures and working capital needs; however, Energy Transfer may issue debt or equity securities from time to time as we deem prudent to provide liquidity for new capital projects of our subsidiaries or for other partnership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summarizes our organizational structure as of February 10, 2023. For simplicity, certain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594360</wp:posOffset>
            </wp:positionV>
            <wp:extent cx="5863590" cy="6163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61633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Achievements in 2022</w:t>
      </w:r>
    </w:p>
    <w:p>
      <w:pPr>
        <w:spacing w:after="0" w:line="121" w:lineRule="exact"/>
        <w:rPr>
          <w:sz w:val="20"/>
          <w:szCs w:val="20"/>
          <w:color w:val="auto"/>
        </w:rPr>
      </w:pPr>
    </w:p>
    <w:p>
      <w:pPr>
        <w:ind w:left="340" w:right="2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the Partnership completed the acquisition of Woodford Express, LLC, which owns a gas gathering and processing system in the SCOOP play of Southern Oklahoma.</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the Partnership completed the sale of our interest in Energy Transfer Canada.</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the Partnership purchased the membership interests in Caliche Coastal Holdings, LLC (subsequently renamed Energy Transfer Spindletop LLC), which owns an underground storage facility near Mont Belvieu,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 “Item 8. Financial Statements and Supplementary Data” for additional financial information about our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Intrastate Transportation and Storage Segment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wholly-owned subsidiaries or through joint venture interests) approximately 11,600 miles of natural gas transportation pipelines with approximately 24 Bcf/d of transportation capacity, three natural gas storage facilities located in the state of Texas and two natural gas storage facilities located in the state of Oklahoma.</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Energy Transfer operates one of the largest intrastate pipeline systems in the United States providing energy logistics to major trading hubs and industrial consumption areas throughout the United States. Our intrastate transportation and storage segment focuses on the transportation of natural gas to major markets from various prolific natural gas producing areas in Texas and Louisiana (Permian Basin and Barnett, Haynesville and Eagle Ford shales) through our Oasis Pipeline, our ETC Katy Pipeline, our RIGS pipeline, our natural gas pipeline and storage systems that are referred to as the ET Fuel System, and our HPL System. In addition, we operate EOIT in Oklahoma, delivering natural gas from various shale plays in the Anadarko and Arkoma Basins, as further described in “Asset Overview.”</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generate revenues and margin from the sale of natural gas to electric utilities, independent power plants, local distribution companies, industrial end-users and marketing companies on our HPL System.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a 70% interest in Red Bluff Express Pipeline, which owns a pipeline in the Delaware Basin; and 16% membership interests in Comanche Trail Pipeline and Trans-Pecos Pipeline, both of which own pipelines delivering natural gas from the Waha Hub to the United States/Mexico border.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Interstate Transportation and Storage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19,945 miles of interstate natural gas pipelines with approximately 20.1 Bcf/d of transportation capacity and another approximately 7,085 miles and 12.2 Bcf/d of transportation capacity through joint venture interests.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vast interstate natural gas network spans the United States from Florida to California and Texas to Michigan, offering a comprehensive array of pipeline and storage services. Our pipelines have the capability to transport natural gas from nearly all Lower 48 onshore and offshore supply basins to customers in the Southeast, Gulf Coast, Southwest, Midwest, Northeast and Canada. Through numerous interconnections with other pipelines, our interstate systems can access virtually any supply 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in the country. As discussed further herein, our interstate segment operations are regulated by the FERC, which has broad regulatory authority over the business and operations of interstate natural gas pipelines.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Lake Charles LNG, our wholly-owned subsidiary, owns an LNG import terminal and regasification facility located on Louisiana’s Gulf Coast near Lake Charles, Louisiana. The import terminal has approximately 9.0 Bcf of above ground storage capacity and the regasification facility has a send out capacity of 1.8 Bcf/d. Lake Charles LNG derives all of its revenue from a series of long-term contracts with a wholly-owned subsidiary of Royal Dutch Shell plc (“Shell”).</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Lake Charles LNG Export, our wholly-owned subsidiary, is developing a natural gas liquefaction project at the site of our Lake Charles LNG import terminal and regasification facility. The project would utilize existing dock and storage facilities owned by Lake Charles LNG located on the Lake Charles site. Lake Charles LNG Export entered into a prior development agreement with Shell in March 2019; however, Shell withdrew from the project in March 2020 due to adverse market factors affecting Shell’s business following the onset of the COVID-19 pandemic.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beginning of 2022, Lake Charles LNG Export has executed six LNG off-take agreements, for an aggregate of nearly 8 million tonnes per annum, including a 20-year LNG agreement with Shell NA LNG LLC. We have also signed nonbinding letter agreements with two Japanese customers for LNG offtake, and we are in active negotiations with several customers for long-term offtake contracts for significant volumes of LNG. We are making progress on all aspects of the project. Upon completion of the LNG project, we expect to realize significant incremental cash flows from transportation of natural gas on our Trunkline pipeline system, and other Energy Transfer pipelines upstream from Lake Charles.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from our interstate transportation and storage segment are primarily derived from the fees we earn from natural gas transportation and storage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midstream industry consists of natural gas gathering, compression, treating, processing, storage, and transportation,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midstream segment, we own and operate natural gas gathering and NGL pipelines, natural gas processing plants, natural gas treating facilities and natural gas conditioning facilities with an aggregate processing capacity of approximately 11.7 Bcf/d. Our midstream segment focuses on the gathering, compression, treating, blending, and processing, and our operations are currently concentrated in major producing basins and shales in South Texas, West Texas, New Mexico, North Texas, East Texas, West Virginia, Pennsylvania, Ohio, Oklahoma, Arkansas, Kansas and Louisiana. Many of our midstream assets are integrated with our intrastate transportation and storage assets as well as our NGL assets.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midstream segment includes a 60% interest in Edwards Lime Gathering, LLC, which operates natural gas gathering, compression and treating facilities, and an oil pipeline and oil stabilization facility in South Texas; a 75% membership interest in ORS, which operates a natural gas gathering system in the Utica Shale in Ohio; a 50% membership interest in Mi Vida JV LLC, which operates a cryogenic processing plant in West Texas; and a 50% membership interest in Atoka Midstream LLC, which owns a natural gas gathering system in Oklahoma.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midstream segment results are derived primarily from margins we earn for natural gas volumes that are gathered, transported, purchased and sold through our pipeline systems and the natural gas and NGL volumes processed at our processing and treating facilities.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and Refined Products Transportation and Services Segment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NGL and refined products operations transport, store and execute acquisition and marketing activities utilizing a complementary network of pipelines, storage and blending facilities, and strategic off-take locations that provide access to multiple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NGL and refined products transportation and services segment includes:</w:t>
      </w:r>
    </w:p>
    <w:p>
      <w:pPr>
        <w:spacing w:after="0" w:line="1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5,650 miles of NGL pipelines;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Nederland Terminal and connecting pipelines which provide transportation of ethane, propane, butane and natural gasoline from our Mont Belvieu Facility to our Nederland Terminal where these products can be exported;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Marcus Hook Terminal which includes fractionation, storage and exporting assets. This facility is connected to our Mariner East Pipeline System, which provides for the transportation of ethane and LPG products from western Pennsylvania, West Virginia and eastern Ohio to our Marcus Hook Terminal where these component products can be exported, processed or locally distributed;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fractionation facilities with an aggregate capacity of 975 MBbls/d;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facility in Mont Belvieu with a working storage capacity of approximately 58 MMBbls; and</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NGL storage assets, located at our Cedar Bayou, Hattiesburg and Spindletop storage facilities, and our Nederland, Marcus Hook and Inkster NGL terminals with an aggregate storage capacity of approximately 25 MMBbls.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NGL pipelines primarily transport NGLs from the Permian Basin and the Barnett and Eagle Ford Shales to Mont Belvieu, Texas, as well as NGLs from the Marcellus and Utica Shales to both our Marcus Hook Terminal and to customer facilities in Marysville, Michigan and to delivery points on the Canadian border.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NGL terminalling services are facilitated by approximately 10 MMBbls of NGL storage capacity. These operations also support our liquids blending activities, including the use of our patented butane blending technology. Refined products operations provide transportation and terminalling services through the use of approximately 3,670 miles of refined products pipelines and 37 active refined products marketing terminals. Our marketing terminals are located primarily in the northeast, midwest and southwest United States, with approximately 8 MMBbls of refined products storage capacity. Our refined products operations utilize our integrated pipeline and terminalling assets, as well as acquisition and marketing activities, to service refined products markets in several regions throughout the United States. The mix of products delivered through our refined products pipelines varies seasonally, with gasoline demand peaking during the summer months, and demand for heating oil and other distillate fuels peaking in the winter.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fee-based export activities, the marketing of NGLs and processing and fractionating refinery off-gas.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Crude Oil Transportation and Services Segment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crude oil operations provide transportation (via pipeline and trucking), terminalling and acquisition and marketing services to crude oil markets throughout the southwest, midwest and northeastern United States. Through our crude oil transportation and services segment, we own and operate (through wholly-owned subsidiaries or joint venture interests) approximately 11,315 miles of crude oil trunk and gathering pipelines in the southwestern, northwestern and midwestern United States. This segment includes equity ownership interests in six crude oil pipeline systems, the Bakken Pipeline system, Bayou Bridge Pipeline, White Cliffs Pipeline, Maurepas Pipeline, the Permian Express pipelines and Enable South Central Pipeline. Our crude oil terminalling services operate with an aggregate storage capacity of approximately 66 MMBbls, including approximately 31 MMBbls at our Gulf Coast terminal in Nederland, Texas, approximately 18.2 MMBbls at our Gulf coast terminal on the Houston Ship Channel and approximately 7.6 MMBbls at our Cushing facility in Cushing, Oklahoma. Our crude oil acquisition and marketing activities utilize our pipeline and terminal assets, our proprietary fleet crude oil tractor trailers and truck unloading facilities, as well as third-party assets, to service crude oil markets principally in the midcontinent United States.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crude oil acquisition and marketing activities include the gathering, purchasing, marketing and selling of crude oil. Specifically, the crude oil acquisition and marketing activities include:</w:t>
      </w:r>
    </w:p>
    <w:p>
      <w:pPr>
        <w:spacing w:after="0" w:line="5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crude oil at both the wellhead from producers, and in bulk from aggregators at major pipeline interconnections and trading locations;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storing inventory during contango market conditions (when the price of crude oil for future delivery is higher than current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and selling crude oil of different grades at different locations in order to maximize value;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crude oil using our pipelines, terminals and trucks or, when necessary or cost effective, pipelines, terminals or trucks owned and operated by third parties;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crude oil to major integrated oil companies, independent refiners and resellers through various types of sale and exchange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Sunoco LP</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Sunoco LP is engaged in the distribution of motor fuels to independent dealers, distributors, and other commercial customers and the distribution of motor fuels to end-user customers at retail sites operated by commission agents. Additionally, it receives rental income through the leasing or subleasing of real estate used in the retail distribution of motor fuel. Sunoco LP also operates 76 retail stores located in Hawaii and New Jersey.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is the exclusive wholesale supplier of the Sunoco-branded and EcoMaxx-branded motor fuels, supplying an extensive distribution network of approximately 5,563 Sunoco-branded company and third-party operated locations throughout the East Coast, Midwest, South Central and Southeast regions of the United States and Puerto Rico. In addition to distributing motor fuels, Sunoco LP also distributes other petroleum products such as propane and lubricating oil, and Sunoco LP receives rental income from real estate that it leases or subleases.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 operations primarily consist of fuel distribution and marketing.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USAC</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USAC provides natural gas compression services throughout the United States, including the Utica, Marcellus, Permian Basin, Eagle Ford, Mississippi Lime, Granite Wash, Woodford, Barnett, Haynesville, Niobrara and Fayetteville shales.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 As of December 31, 2022, USAC had 3.7 million horsepower in its fleet.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USAC operates a modern fleet of compression units, with an average age of approximately 11 years.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USAC provides compression services to its customers under fixed-fee contracts with initial contract terms typically between six months to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fixed-fee contracts whereby its customers are required to pay a monthly fee even during periods of limited or disrupted throughput, which enhances the stability and predictability of its cash flows. USAC is not directly exposed to commodity price risk because it does not take title to the natural gas or crude oil involved in its services and because the natural gas used as fuel by its compression units is supplied by its customers without cost to USAC.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USAC’s assets and operations are all located and conducted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 Other” segment includes the following:</w:t>
      </w:r>
    </w:p>
    <w:p>
      <w:pPr>
        <w:spacing w:after="0" w:line="117" w:lineRule="exact"/>
        <w:rPr>
          <w:sz w:val="20"/>
          <w:szCs w:val="20"/>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gas marketing activities, which optimize basis pricing differentials by purchasing natural gas, transporting, primarily on company owned pipelines, and selling that gas primarily to industrial end-users or to other marketers.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commodity marketing company, which focuses primarily on wholesale power trading activities.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compression equipment business, which has operations in Arkansas, California, Colorado, Louisiana, New Mexico, Oklahoma, Pennsylvania and Texas.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subsidiary, Dual Drive Technologies, Ltd., which provides compression services to customers engaged in the transportation of natural gas, including our other segments.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are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completed the sale of our 51% ownership interest in Energy Transfer Canada, which owns processing and gathering facilities in Alberta, Canada.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include summaries of significant assets within the Partnership’s reportable segments. Amounts, such as capacities, volumes and miles included in the following descriptions are approximate and are based on information currently available; such amounts are subject to change based on future events or additional information.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map below depicts the major assets of our core businesses, excluding the assets of Sunoco LP, USAC and the businesses in our all other segment. The map below and the maps included within the segment asset descriptions include certain non-wholly-owned joint ventures and exclude corporate and field offices and certain assets that are less significant to the Partnership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346075</wp:posOffset>
            </wp:positionV>
            <wp:extent cx="5863590" cy="3334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Intrastate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4783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and storage facilities in the intrastate transportation and storage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Pipeline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Miles of Natural</w:t>
            </w:r>
          </w:p>
        </w:tc>
        <w:tc>
          <w:tcPr>
            <w:tcW w:w="15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Throughput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Description of Assets</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Ownership Interest</w:t>
            </w: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30"/>
        </w:trPr>
        <w:tc>
          <w:tcPr>
            <w:tcW w:w="50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Gas Pipeline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(Bcf/d)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(Bcf)</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 Fuel System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Oasis Pipeline </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Pipeline (“HPL”) System</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ETC Katy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Regency Intrastate Gas System (“RIGS”)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Enable Oklahoma Intrastate Transmission (“EOIT”)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Comanche Trail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Trans-Pecos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Bluff Express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Includes bi-directional capabilities</w:t>
      </w: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intrastate transportation and storage assets:</w:t>
      </w:r>
    </w:p>
    <w:p>
      <w:pPr>
        <w:spacing w:after="0" w:line="117" w:lineRule="exact"/>
        <w:rPr>
          <w:sz w:val="20"/>
          <w:szCs w:val="20"/>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 Fuel System serves some of the most prolific production areas in the United States and is comprised of intrastate natural gas pipelines and related natural gas storage facilities. The ET Fuel System has many interconnections with pipelines providing direct access to power plants, other intrastate and interstate pipelines, and has bi-directional capabilities. It is strategically located near high-growth production areas and provides access to the three major natural gas trading centers in Texas: the Waha Hub near Pecos, Texas, the Maypearl Hub in Central Texas and the Carthage Hub in East Texas.</w:t>
      </w:r>
    </w:p>
    <w:p>
      <w:pPr>
        <w:spacing w:after="0" w:line="7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 Fuel System also includes our Bethel natural gas storage facility, with a working capacity of 6.0 Bcf, an average withdrawal capacity of 300 MMcf/d and an injection capacity of 75 MMcf/d, and our Bryson natural gas storage facility, with a working capacity of 5.2 Bcf, an average withdrawal capacity of 120 MMcf/d and an average injection capacity of 96 MMcf/d. Storage capacity on the ET Fuel System is contracted to third parties under fee-based arrangements that extend through 2023.</w:t>
      </w:r>
    </w:p>
    <w:p>
      <w:pPr>
        <w:spacing w:after="0" w:line="7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ET Fuel System is integrated with our Godley processing plant which gives us the ability to bypass the plant when processing margins are unfavorable by blending the untreated natural gas from our gas gathering system known as the North Texas System with natural gas on the ET Fuel System while continuing to meet pipeline quality specifications.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67"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Oasis pipeline is integrated with our gathering system known as the Southeast Texas System and is an important component to maximizing our Southeast Texas System’s profitability. The Oasis pipeline enhances the Southeast Texas System by (i) providing access for natural gas gathered on the Southeast Texas System to other third-party supply and market points and interconnecting pipelines and (ii) allowing us to bypass our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HPL System is an extensive network of intrastate natural gas pipelines, an underground Bammel storage reservoir and related transportation assets. The system has access to multiple sources of historically significant natural gas supply reserves from South Texas, the Gulf Coast of Texas, East Texas and the western Gulf of Mexico, and is directly connected to major gas distribution, electric and industrial load centers in Houston, Corpus Christi, Texas City, Beaumont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Carthage and Agua Dulce, as well as our Bammel storage facility.</w:t>
      </w:r>
    </w:p>
    <w:p>
      <w:pPr>
        <w:spacing w:after="0" w:line="83"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2022, we had approximately 17.2 Bcf committed under fee-based arrangements with third parties and approximately 32.8 Bcf stored in the facility for our own account.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ETC Katy Pipeline connects three treating facilities, one of which we own, with our gathering system known as Southeast Texas System. The ETC Katy pipeline serves producers in East and North Central Texas and provides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RIGS is a 450-mile intrastate pipeline that delivers natural gas from northwest Louisiana to downstream pipelines and markets.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EOIT is a 2,200-mile pipeline system that provides natural gas transportation and storage services to customers in Oklahoma. EOIT is a web-like configuration with multidirectional flow capabilities between numerous receipt points and delivery points. EOIT delivers natural gas from the Anadarko and Arkoma Basins, including the SCOOP, STACK, Cana Woodford, Granite Wash, Cleveland, Tonkawa and Mississippi Lime Shale plays in western Oklahoma to utilities and industrial end users connected to EOIT and to interstate and intrastate pipelines interconnected with EOIT. EOIT also has two underground natural gas storage facilities in Oklahoma, which operate at a combined capacity of 24 Bcf with a peak withdrawal rate of 0.60 Bcf/d.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Comanche Trail Pipeline is a 195-mile intrastate pipeline that delivers natural gas from the Waha Hub near Pecos, Texas to the United States/Mexico border near San Elizario, Texas. The Partnership owns a 16% membership interest in and operates Comanche Trail.</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Trans-Pecos Pipeline is a 143-mile intrastate pipeline that delivers natural gas from the Waha Hub near Pecos, Texas to the United States/Mexico border near Presidio, Texas. The Partnership owns a 16% membership interest in and operates Trans-Pecos.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 Bluff Express Pipeline is an approximately 120-mile intrastate pipeline that runs through the heart of the Delaware Basin and connects our Orla Plant, as well as third-party plants to the Waha Oasis Header. The Partnership owns a 70% membership interest in and operates Red Bluff Express.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411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in the interstate transportation and storage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Pipeline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Miles of Natural</w:t>
            </w:r>
          </w:p>
        </w:tc>
        <w:tc>
          <w:tcPr>
            <w:tcW w:w="15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Throughput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Description of Assets</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Ownership Interest</w:t>
            </w: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29"/>
        </w:trPr>
        <w:tc>
          <w:tcPr>
            <w:tcW w:w="50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Gas Pipeline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(Bcf/d)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(Bcf)</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 Gas Transmission (“FGT”)</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Transwestern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Panhandle Eastern Pipe Line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Trunkline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Tiger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Fayetteville Express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 Robin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Stingray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Rover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Midcontinent Express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Enable Gas Transmission (“EGT”)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 River Transmission (“MRT”)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1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Supply Header (“SESH”)</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Gulf Run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4"/>
                <w:szCs w:val="24"/>
                <w:color w:val="auto"/>
              </w:rPr>
            </w:pPr>
          </w:p>
        </w:tc>
        <w:tc>
          <w:tcPr>
            <w:tcW w:w="14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89"/>
              </w:rPr>
              <w:t>3.0</w:t>
            </w:r>
            <w:r>
              <w:rPr>
                <w:rFonts w:ascii="Times New Roman" w:cs="Times New Roman" w:eastAsia="Times New Roman" w:hAnsi="Times New Roman"/>
                <w:sz w:val="23"/>
                <w:szCs w:val="23"/>
                <w:color w:val="auto"/>
                <w:w w:val="89"/>
                <w:vertAlign w:val="superscript"/>
              </w:rPr>
              <w:t>(2)</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Storage capacity figure includes storage leased from Southwest Gas and third-party companies.</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newly constructed 135-mile pipeline and approximately 200 miles of pipeline acquired from EGT.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interstate transportation and storage assets:</w:t>
      </w:r>
    </w:p>
    <w:p>
      <w:pPr>
        <w:spacing w:after="0" w:line="117" w:lineRule="exact"/>
        <w:rPr>
          <w:sz w:val="20"/>
          <w:szCs w:val="20"/>
          <w:color w:val="auto"/>
        </w:rPr>
      </w:pPr>
    </w:p>
    <w:p>
      <w:pPr>
        <w:ind w:left="34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FGT extends from South Texas through the Gulf Coast region of the United States to south Florida. FGT is the principal transporter of natural gas to the Florida energy market, delivering approximately 60% of the natural gas consumed in the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state. In addition, FGT’s numerous intrastate and interstate pipeline interconnections with major interstate and intrastate natural gas pipelines provide access to diverse natural gas supply sources. FGT’s customers include electric utilities, independent power producers, industrial end-users and local distribution companies. FGT is owned by Citrus, a 50/50 joint venture with Kinder Morgan, Inc.</w:t>
      </w:r>
    </w:p>
    <w:p>
      <w:pPr>
        <w:spacing w:after="0" w:line="68" w:lineRule="exact"/>
        <w:rPr>
          <w:sz w:val="20"/>
          <w:szCs w:val="20"/>
          <w:color w:val="auto"/>
        </w:rPr>
      </w:pPr>
    </w:p>
    <w:p>
      <w:pPr>
        <w:jc w:val="both"/>
        <w:ind w:left="34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Transwestern Pipeline transports natural gas supply from the Permian Basin in West Texas and eastern New Mexico, the San Juan Basin in northwestern New Mexico and southern Colorado, and the Anadarko Basin in the Texas and Oklahoma panhandles. The system has bi-directional capabilities and can access Texas and Midcontinent natural gas market hubs, as well as major western markets in Arizona, Nevada and California. Transwestern’s customers include local distribution companies, producers, marketers, electric power generators and industrial end-users.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Panhandle Eastern Pipe Line’s transmission system consists of four large diameter mainline pipelines with bi-directional capabilities, extending approximately 1,300 miles from producing areas in the Anadarko Basin of Texas, Oklahoma and Kansas through Missouri, Illinois, Indiana, Ohio and into Michigan. Panhandle contracts for over 73 Bcf of natural gas storage.</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Trunkline’s transmission system consists of one large diameter mainline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Tiger is a bi-directional system that extends through the heart of the Haynesville Shale and ends near Delhi, Louisiana, interconnecting with multiple interstate pipelines.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Kinder Morgan, Inc.</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Robin Pipeline’s system consists of two offshore Louisiana natural gas supply pipelines extending 120 miles into the Gulf of Mexico.</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Stingray Pipeline is an interstate natural gas pipeline system with assets located in the western Gulf of Mexico and Johnson Bayou, Louisiana.</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Rover Pipeline is a large diameter pipeline which transports natural gas from processing plants in West Virginia, Eastern Ohio and Western Pennsylvania for delivery to other pipeline interconnects in Ohio and Michigan, where the gas is delivered for distribution to markets across the United States, as well as to Ontario, Canada.</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Kinder Morgan, Inc., the operator of the system.</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EGT provides natural gas transportation and storage services to customers in Oklahoma, Texas, Arkansas, Louisiana, Missouri and Kansas. EGT has two underground storage facilities in Oklahoma and one underground natural gas storage facility in Louisiana. Through numerous pipeline interconnections along the system and at the Perryville Hub, EGT customers have access to the Midwest and Northeast markets, as well as most of the major natural gas consuming markets east of the Mississippi River.</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MRT provides natural gas transportation and storage services in Texas, Arkansas, Louisiana, Missouri and Illinois. MRT has underground natural gas storage facilities in Louisiana and Illinois. MRT receives natural gas from a variety of interstate and intrastate pipelines through its interconnections and delivers natural gas primarily to the St. Louis market.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SESH, a 50/50 joint venture with Enbridge Inc., provides transportation services in Louisiana, Mississippi and Alabama. SESH transports natural gas from the Perryville Hub in Louisiana to its endpoint in Mobile County, Alabama. SESH has interconnections with third party natural gas pipelines and provides access to major Southeast and Northeast markets and transports directly to generating facilities in Mississippi and Alabama and to interconnecting pipelines that supply companies generating electricity for the Florida power market.</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Gulf Run Pipeline, placed in service in December 2022, is a large diameter pipeline that runs from the heart of the Haynesville Shale in East Texas and North Louisiana to the Carthage and Perryville natural gas hubs and other key markets along the Gulf Coast.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Regasification Facility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Lake Charles LNG, our wholly-owned subsidiary, owns an LNG import terminal and regasification facility located on Louisiana’s Gulf Coast near Lake Charles, Louisiana. The import terminal has approximately 9.0 Bcf of above ground LNG storage capacity and the regasification facility has a send out capacity of 1.8 Bcf/d.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Liquefaction Project</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Lake Charles LNG Export, our wholly-owned subsidiary, is developing a natural gas liquefaction project at the site of our Lake Charles LNG import terminal and regasification facility. The project would utilize existing dock and storage facilities owned by Lake Charles LNG located on the Lake Charles site. Lake Charles LNG Export entered into a prior development agreement with Shell in March 2019; however, Shell withdrew from the project in March 2020 due to adverse market factors affecting Shell’s business following the onset of the COVID-19 pandemic.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beginning of 2022, Lake Charles LNG Export has executed six LNG off-take agreements, for an aggregate of nearly 8 million tonnes per annum, including a 20-year LNG agreement with Shell NA LNG LLC. We have also signed nonbinding letter agreements with two Japanese customers for LNG offtake, and we are in active negotiations with several customers for long-term offtake contracts for significant volumes of LNG. We are making progress on all aspects of the project. Upon completion of the LNG project, we expect to realize significant incremental cash flows from transportation of natural gas on our Trunkline pipeline system, and other Energy Transfer pipelines upstream from Lake Charles.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export of LNG produced by the liquefaction project from the United States would be undertaken under long-term export authorizations issued by the DOE to Lake Charles LNG Export. In March 2013, Lake Charles LNG Export obtained a DOE authorization to export LNG to countries with which the United States has or will have Free Trade Agreements (“FTA”) for trade in natural gas (the “FTA Authorization”). In July 2016, Lake Charles LNG Export also obtained a conditional DOE authorization to export LNG to countries that do not have an FTA for trade in natural gas (the “Non-FTA Authorization”). In October 2020, the DOE extended the FTA Authorization and Non-FTA Authorization to 30- and 25-year terms, respectively, following first deliveries on or before December 2025, consistent with the FERC authorization for the project. The FTA Authorization and Non-FTA Authorization have 25- and 20-year terms, respectively, commencing with the completion of construction of the liquefaction facility. In addition, Lake Charles LNG Export received its wetlands permits from the USACE to perform wetlands mitigation work and to perform modification and dredging work for the temporary and permanent dock facilities at the Lake Charles LNG facilities.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634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details our assets in the midstream segment:</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8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Gas</w:t>
            </w:r>
          </w:p>
        </w:tc>
        <w:tc>
          <w:tcPr>
            <w:tcW w:w="0" w:type="dxa"/>
            <w:vAlign w:val="bottom"/>
          </w:tcPr>
          <w:p>
            <w:pPr>
              <w:spacing w:after="0"/>
              <w:rPr>
                <w:sz w:val="1"/>
                <w:szCs w:val="1"/>
                <w:color w:val="auto"/>
              </w:rPr>
            </w:pPr>
          </w:p>
        </w:tc>
      </w:tr>
      <w:tr>
        <w:trPr>
          <w:trHeight w:val="180"/>
        </w:trPr>
        <w:tc>
          <w:tcPr>
            <w:tcW w:w="9800" w:type="dxa"/>
            <w:vAlign w:val="bottom"/>
          </w:tcPr>
          <w:p>
            <w:pPr>
              <w:spacing w:after="0"/>
              <w:rPr>
                <w:sz w:val="15"/>
                <w:szCs w:val="15"/>
                <w:color w:val="auto"/>
              </w:rPr>
            </w:pP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Processing</w:t>
            </w:r>
          </w:p>
        </w:tc>
        <w:tc>
          <w:tcPr>
            <w:tcW w:w="0" w:type="dxa"/>
            <w:vAlign w:val="bottom"/>
          </w:tcPr>
          <w:p>
            <w:pPr>
              <w:spacing w:after="0"/>
              <w:rPr>
                <w:sz w:val="1"/>
                <w:szCs w:val="1"/>
                <w:color w:val="auto"/>
              </w:rPr>
            </w:pPr>
          </w:p>
        </w:tc>
      </w:tr>
      <w:tr>
        <w:trPr>
          <w:trHeight w:val="175"/>
        </w:trPr>
        <w:tc>
          <w:tcPr>
            <w:tcW w:w="9800" w:type="dxa"/>
            <w:vAlign w:val="bottom"/>
            <w:vMerge w:val="restart"/>
          </w:tcPr>
          <w:p>
            <w:pPr>
              <w:ind w:left="4080"/>
              <w:spacing w:after="0"/>
              <w:rPr>
                <w:sz w:val="20"/>
                <w:szCs w:val="20"/>
                <w:color w:val="auto"/>
              </w:rPr>
            </w:pPr>
            <w:r>
              <w:rPr>
                <w:rFonts w:ascii="Times New Roman" w:cs="Times New Roman" w:eastAsia="Times New Roman" w:hAnsi="Times New Roman"/>
                <w:sz w:val="18"/>
                <w:szCs w:val="18"/>
                <w:color w:val="auto"/>
              </w:rPr>
              <w:t>Description of Assets</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(MMcf/d)</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Ark-La-Tex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Central 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Midcontinent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midstream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Texas Region:</w:t>
      </w:r>
    </w:p>
    <w:p>
      <w:pPr>
        <w:spacing w:after="0" w:line="119" w:lineRule="exact"/>
        <w:rPr>
          <w:sz w:val="20"/>
          <w:szCs w:val="20"/>
          <w:color w:val="auto"/>
        </w:rPr>
      </w:pPr>
    </w:p>
    <w:p>
      <w:pPr>
        <w:ind w:left="340" w:right="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South Texas assets, which include the Southeast Texas System and the Eagle Ford System, are an integrated system that gathers, compresses, treats, processes, dehydrates and transports natural gas from the Austin Chalk trend and the Eagle Ford Shale.</w:t>
      </w:r>
    </w:p>
    <w:p>
      <w:pPr>
        <w:spacing w:after="0" w:line="53"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in our Southeast Texas System include a large natural gas gathering system that covers thirteen counties between Austin and Houston, Texas and connects to the Katy Hub through the ETC Katy Pipeline and is also connected to the Oasis Pipeline. This system also includes three natural gas processing plants (La Grange, Alamo and Brookeland) with an aggregate capacity of 510 MMcf/d. These plants process the rich gas that flows through our gathering system to produce residue gas and NGLs. Residue gas is delivered into our intrastate pipelines and NGLs are delivered into our NGL pipelines.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assets in our Eagle Ford System consist of 30-inch and 42-inch natural gas gathering pipelines originating in Dimmitt County, Texas, and extending to both our King Ranch gas plant in Kleberg County, Texas and Jackson plant in Jackson County, Texas. These assets also include four processing plants (Chisholm, Kenedy, Jackson and King Ranch) with an aggregate capacity of 1.9 Bcf/d. Our Chisholm, Kenedy, Jackson and King Ranch processing plants are connected to our intrastate transportation pipeline systems for deliveries of residue gas and are also connected with our NGL pipelines.</w:t>
      </w:r>
    </w:p>
    <w:p>
      <w:pPr>
        <w:spacing w:after="0" w:line="75" w:lineRule="exact"/>
        <w:rPr>
          <w:sz w:val="20"/>
          <w:szCs w:val="20"/>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60% interest in Edward Lime Gathering, LLC, which operates natural gas gathering, compression and treating facilities, and an oil pipeline and oil stabilization facility in South Texas.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Ark-La-Tex Region:</w:t>
      </w:r>
    </w:p>
    <w:p>
      <w:pPr>
        <w:spacing w:after="0" w:line="119" w:lineRule="exact"/>
        <w:rPr>
          <w:sz w:val="20"/>
          <w:szCs w:val="20"/>
          <w:color w:val="auto"/>
        </w:rPr>
      </w:pPr>
    </w:p>
    <w:p>
      <w:pPr>
        <w:jc w:val="both"/>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Ark-La-Tex assets are comprised of several gathering systems in the Haynesville Shale with access to multiple markets through interconnects with several pipelines, including our Tiger pipeline. Our Northern Louisiana assets include the Bistineau, Creedence, Tristate, Logansport, Magnolia, Olympia, Amoruso, and Lumberjack systems, which collectively include eleven natural gas treating facilities, with aggregate capacity of 3.0 Bcf/d.</w:t>
      </w:r>
    </w:p>
    <w:p>
      <w:pPr>
        <w:spacing w:after="0" w:line="67"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Ark-La-Tex assets gather, compress, treat and dehydrate natural gas in several parishes in north and 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connects to a third party that provides access to the Mont Belvieu market for NGLs produced from our processing plants. Collectively, the fourteen natural gas processing facilities (Dubach, Dubberly, Lisbon, Salem, Elm Grove, Minden, Ada, Lincoln, Rosewood, Mt. Olive, Panola, Sligo and Waskom) have an aggregate capacity of 2.0 Bcf/d.</w:t>
      </w:r>
    </w:p>
    <w:p>
      <w:pPr>
        <w:spacing w:after="0" w:line="79"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gathering and processing systems described above and their interconnections with RIGS in north Louisiana, as well as other pipelines, we offer producers wellhead-to-market services, including natural gas gathering, compression, processing, treating and transportation.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Central Texas Region:</w:t>
      </w:r>
    </w:p>
    <w:p>
      <w:pPr>
        <w:spacing w:after="0" w:line="119" w:lineRule="exact"/>
        <w:rPr>
          <w:sz w:val="20"/>
          <w:szCs w:val="20"/>
          <w:color w:val="auto"/>
        </w:rPr>
      </w:pPr>
    </w:p>
    <w:p>
      <w:pPr>
        <w:jc w:val="both"/>
        <w:ind w:left="340" w:hanging="332"/>
        <w:spacing w:after="0" w:line="26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plant, which processes rich gas produced from the Barnett Shale and STACK play, with an aggregate capacity of 700 MMcf/d. The Godley plant is integrated with the ET Fuel System.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Region:</w:t>
      </w:r>
    </w:p>
    <w:p>
      <w:pPr>
        <w:spacing w:after="0" w:line="119" w:lineRule="exact"/>
        <w:rPr>
          <w:sz w:val="20"/>
          <w:szCs w:val="20"/>
          <w:color w:val="auto"/>
        </w:rPr>
      </w:pPr>
    </w:p>
    <w:p>
      <w:pPr>
        <w:jc w:val="both"/>
        <w:ind w:left="340" w:hanging="332"/>
        <w:spacing w:after="0" w:line="255"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Permian Basin Gathering System offers wellhead-to-market services to producers in eleven counties in West Texas, as well as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region of the United States and Texas natural gas markets. The NGL market outlets includes our NGL pipeline system. The Permian Basin Gathering System includes twelve processing facilities (Waha, Coyanosa, Red Bluff, Halley, Jal, Keystone, Tippet, Orla, Panther, Rebel, Grey Wolf and Arrowhead) with an aggregate processing capacity of 2.6 Bcf/d and one natural gas conditioning facility with an aggregate capacity of 200 MMcf/d.</w:t>
      </w:r>
    </w:p>
    <w:p>
      <w:pPr>
        <w:spacing w:after="0" w:line="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50% membership interest in Mi Vida JV LLC, a joint venture which owns a 200 MMcf/d cryogenic processing plant in West Texas. We operate the plant and related facilities on behalf of the joint venture.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previously owned a 50% membership interest in Ranch Westex JV LLC, which was sold in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Midcontinent Region:</w:t>
      </w:r>
    </w:p>
    <w:p>
      <w:pPr>
        <w:spacing w:after="0" w:line="119" w:lineRule="exact"/>
        <w:rPr>
          <w:sz w:val="20"/>
          <w:szCs w:val="20"/>
          <w:color w:val="auto"/>
        </w:rPr>
      </w:pPr>
    </w:p>
    <w:p>
      <w:pPr>
        <w:jc w:val="both"/>
        <w:ind w:left="340" w:hanging="332"/>
        <w:spacing w:after="0" w:line="255"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Systems are located in three large natural gas producing regions in the United States: the Hugoton Basin in southwest Kansas, the Anadarko Basin in the Texas Panhandle and Oklahoma, including the STACK and SCOOP plays, and the Arkoma Basin in Eastern Oklahoma and Arkansas. These mature basins have continued to provide generally long-lived, predictable production volumes. Our Midcontinent assets are extensive systems that gather, compress and dehydrate low-pressure gas. The Midcontinent Systems include 24 natural gas processing facilities (Mocane, Beaver, Antelope Hills, Woodall, Wheeler, Sunray, Hemphill, Hamlin, Spearman, Crescent, Rose Valley, Hopeton, Bradley, Bradley II, McClure, Wheeler, South Canadian, Clinton, Roger Mills, Canute, Cox City, Thomas, Calumet and Wetumka) with an aggregate capacity of approximately 3.1 Bcf/d.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the Hugoton Gathering System that has 1,900 miles of pipeline extending over nine counties in Kansas and Oklahoma. This system is operated by a third party.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50% membership interest in Atoka Midstream LLC, which owns a natural gas gathering system in Oklahoma.</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we acquired Woodford Express, LLC, which has cryogenic gas processing and treatment capacity of 450 MMcf/d and over 200 miles of gathering lines that are connected to Energy Transfer’s pipeline network.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Region:</w:t>
      </w:r>
    </w:p>
    <w:p>
      <w:pPr>
        <w:spacing w:after="0" w:line="119" w:lineRule="exact"/>
        <w:rPr>
          <w:sz w:val="20"/>
          <w:szCs w:val="20"/>
          <w:color w:val="auto"/>
        </w:rPr>
      </w:pPr>
    </w:p>
    <w:p>
      <w:pPr>
        <w:jc w:val="both"/>
        <w:ind w:left="340" w:hanging="332"/>
        <w:spacing w:after="0" w:line="26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Eastern Region assets are located in eleven counties in Pennsylvania, four counties in Ohio, three counties in West Virginia, and gather natural gas from the Marcellus and Utica Shales. Our Eastern Region assets include approximately 600 miles of natural gas gathering pipelines, natural gas trunklines, fresh-water pipelines, and nine gathering and processing systems, as well as the 200 MMcf/d Revolution processing plant, which feeds into our Mariner East and Rover pipeline systems.</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own a 51% membership interest in Aqua – ETC Water Solutions LLC, a joint venture that transports and supplies fresh water to natural gas producers drilling in the Marcellus Shale in Pennsylvania.</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75% membership interest in ORS. On behalf of ORS, we operate its Ohio Utica River System, which consists of 47 miles of 36-inch, 13 miles of 30-inch and 3 miles of 24-inch gathering trunklines, and which delivers up to 3.6 Bcf/d to Rockies Express Pipeline, Texas Eastern Transmission, Leach Xpress, Rover and DEO TPL-18.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780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7801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assets in our NGL and refined products transportation and services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NGL Fractionation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 Processing</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8"/>
                <w:szCs w:val="18"/>
                <w:color w:val="auto"/>
              </w:rPr>
              <w:t>Description of Assets</w:t>
            </w:r>
          </w:p>
        </w:tc>
        <w:tc>
          <w:tcPr>
            <w:tcW w:w="15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Miles of Liquids</w:t>
            </w:r>
          </w:p>
        </w:tc>
        <w:tc>
          <w:tcPr>
            <w:tcW w:w="15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Capacity</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29"/>
        </w:trPr>
        <w:tc>
          <w:tcPr>
            <w:tcW w:w="670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Pipeline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(MBbls/d)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(MBbls)</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Liquids Pipelines:</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Gulf Coast NGL Express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West Texas Gateway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Permian Basin NGL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Mariner East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Mariner West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 Belvieu to Nederland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White Cliffs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NGL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Liquids Fractionation and Storage Facilities: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 Belvieu</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Spindletop</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ET Geismar Olefins</w:t>
            </w:r>
            <w:r>
              <w:rPr>
                <w:rFonts w:ascii="Times New Roman" w:cs="Times New Roman" w:eastAsia="Times New Roman" w:hAnsi="Times New Roman"/>
                <w:sz w:val="23"/>
                <w:szCs w:val="23"/>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Hattiesburg</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Cedar Bayou</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Terminals: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Nederland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Orbit Gulf Coast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Marcus Hook</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Inkster</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region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Midcontinent region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region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Inland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JC Nolan Pipeline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Refined Products Terminals: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Eagle Point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Marcus Hook Terminal</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Marcus Hook Tank Farm</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Marketing Terminals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JC Nolan Terminal</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White Cliffs Pipeline consists of two parallel, 12-inch common carrier pipelines: one crude oil pipeline and one NGL pipeline.</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Additionally, the ET Geismar Olefins off-gas processing facility has inlet volume capacity of 54 MMcf/d.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NGL and refined products transportation and services assets:</w:t>
      </w:r>
    </w:p>
    <w:p>
      <w:pPr>
        <w:spacing w:after="0" w:line="117" w:lineRule="exact"/>
        <w:rPr>
          <w:sz w:val="20"/>
          <w:szCs w:val="20"/>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Gulf Coast NGL Express is an interstate NGL pipeline consisting of 24-inch and 30-inch long-haul transportation pipelines, with throughput capacity of approximately 900 MBbls/d, that delivers mixed NGLs from processing plants in the Permian Basin, the Barnett Shale, and from East Texas to the Mont Belvieu NGL storage facility.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Texas Gateway transports mixed NGLs produced in the Permian Basin and the Eagle Ford Shale to Mont Belvieu, Texas and has a throughput capacity of approximately 240 MBbls/d.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Mariner East Pipeline System, consisting of Mariner East 2 and Mariner East 2x, has an aggregate capacity of 350 to 375 MBbls/d and transports NGLs from the Marcellus and Utica Shales in Western Pennsylvania, West Virginia and Eastern Ohio to destinations in Pennsylvania, including our Marcus Hook Terminal on the Delaware River, where they are processed, stored and distributed to local, domestic and waterborne markets.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 Belvieu to Nederland Pipeline System consists of three pipelines and delivers export-grade propane, butane and natural gasoline from our Mont Belvieu, Texas storage and fractionation complex to our marine terminal in Nederland, Texas and has a total throughput capacity of approximately 530 MBbls/d. In addition, it includes an export-grade ethane pipeline utilized for our Orbit Gulf Coast joint venture as described below.</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Mariner West pipeline provides transportation of ethane from the Marcellus Shale processing and fractionating areas in Houston, Pennsylvania to Marysville, Michigan and the Canadian border and has a throughput capacity of approximately 50 MBbls/d.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White Cliffs NGL pipeline, in which we have 51% ownership interest, transports mixed NGLs produced in the DJ Basin to Cushing, Oklahoma where it interconnects with the Southern Hills Pipeline to move NGLs to Mont Belvieu, Texas and has a throughput capacity of approximately 90 MBbls/d.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NGL pipelines include the 127-mile Justice pipeline, the 45-mile Freedom pipeline, the 20-mile Spirit pipeline and a 50% interest in the 87 mile Liberty pipeline.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Mont Belvieu storage facility is an integrated liquids storage facility with approximately 58 MMBbls of salt dome capacity providing 100% fee-based cash flows. The Mont Belvieu storage facility has access to multiple NGL and refined products pipelines, the Houston Ship Channel trading hub, and numerous chemical plants, refineries and fractionators. We have an additional 8 MMBbls of salt dome capacity at our Spindletop facility which we acquired in March 2022, and is located in Beaumont, Texas.</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Mont Belvieu fractionators handle NGLs delivered from several sources, including the Gulf Coast NGL Express, West Texas Gateway and Justice pipelines.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 Geismar Olefins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100 miles of pipeline to the Chalmette processing plant, which has a processing capacity of 54 MMcf/d.</w:t>
      </w:r>
    </w:p>
    <w:p>
      <w:pPr>
        <w:spacing w:after="0" w:line="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Hattiesburg storage facility is an integrated liquids storage facility with approximately 5 MMBbls of salt dome capacity, providing 100% fee-based cash flows.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Cedar Bayou storage facility is an integrated liquids storage facility with approximately 1.6 MMBbls of tank storage, generating revenues from fixed fee storage contracts, throughput fees, and revenue from blending butane into refined gasoline.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in addition to crude oil activities, also provides approximately 1.9 MMBbls of storage and distribution services for NGLs in connection with the Mont Belvieu to Nederland Pipeline System, which provides transportation of propane, butane and natural gasoline products from our Mont Belvieu, Texas storage and fractionation complex to the Nederland Terminal, where such products can be exported via ship.</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Orbit Gulf Coast joint venture consists of a 70-mile, 20-inch ethane pipeline with a throughput capacity of approximately 200 MBbls/d, delivering from our Mont Belvieu, Texas storage and fractionation complex to our marine terminal in Nederland, Texas, as well as a 180 MBbls/d ethane refrigeration facility and 1.2 MMBbls of storage capacity.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Marcus Hook Terminal includes fractionation, terminalling and storage assets, with a capacity of approximately 2 MMBbls of NGL storage capacity in underground caverns, 4 MMBbls of above-ground NGL refrigerated storage, and related commercial agreements. The terminal has a total active refined products storage capacity of approximately 1 MMBbls. The facility can receive NGLs and refined products via marine vessel, pipeline, truck and rail, and can deliver via marine vessel, pipeline and truck. In addition to providing NGL storage and terminalling services to both affiliates and third-party customers, the Marcus Hook Terminal currently serves as an off-take outlet for our Mariner East Pipeline System.</w:t>
      </w:r>
    </w:p>
    <w:p>
      <w:pPr>
        <w:spacing w:after="0" w:line="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Marcus Hook Terminal also has a tank farm with total refined products storage capacity of approximately 2 MMBbls. The terminal receives and delivers refined products via pipeline and primarily provides terminalling services to support movements on our refined products pipelines.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Inkster terminal, located near Detroit, Michigan, consists of multiple salt caverns with a total storage capacity of approximately 860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Eastern region refined products pipelines consist of 6-inch to 16-inch diameter refined product pipelines in eastern, central and north central Pennsylvania, 8-inch refined products pipeline in western New York and various diameter refined products pipelines in New Jersey (including 80 miles of the 16-inch diameter Harbor Pipeline).</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region refined products pipelines primarily consist of 3-inch to 12-inch refined products pipelines in Ohio and 6-inch and 8-inch refined products pipeline in Michigan.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Southwest region refined products pipelines are located in East Texas and consist primarily of 8-inch and 12-inch diameter refined products pipeline.</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Inland refined products pipeline consists of 12-, 10-, 8- and 6-inch diameter pipelines in the western, northwestern, and northeastern regions of Ohio.</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 Nolan Pipeline, a joint venture between a wholly-owned subsidiary of the Partnership and a wholly-owned subsidiary of Sunoco LP, transports diesel fuel from a tank farm in Hebert, Texas to Midland, Texas, and has a throughput capacity of approximately 36 MBbls/d.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37 refined products terminals with an aggregate storage capacity of approximately 8 MMBbls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crude oil service, the Eagle Point terminal can accommodate three marine vessels (ships or barges) to receive and deliver refined products to outbound ships and barges. The tank farm has a total active refined products storage capacity of approximately 7 MMBbls and provides customers with access to the facility via ship, barge and pipeline. The terminal can deliver via ship, barge, truck or pipeline, providing customers with access to various markets. The terminal generates revenue primarily by charging fees based on throughput, blending services and storage.</w:t>
      </w:r>
    </w:p>
    <w:p>
      <w:pPr>
        <w:spacing w:after="0" w:line="7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 Nolan Terminal, a joint venture between a wholly-owned subsidiary of the Partnership and a wholly-owned subsidiary of Sunoco LP, provides diesel fuel storage in Midland, Texas.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segment also includes the following joint ventures: a 15% membership interest in Explorer, a 1,850-mile pipeline which originates from refining centers in Beaumont, Port Arthur and Houston, Texas and extends to Chicago, Illinois; a 31% membership interest in the Wolverine Pipe Line Company, a 1,055-mile pipeline that originates from Chicago, Illinois and extends to Detroit, Grand Haven, and Bay City, Michigan; a 17% membership interest in the West Shore Pipe Line Company, a 650-mile pipeline which originates in Chicago, Illinois and extends to Madison and Green Bay, Wisconsin; a 14% membership interest in the Yellowstone Pipe Line Company, a 710-mile pipeline which originates from Billings, Montana and extends to Moses Lake, Washington.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Crude Oil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874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and terminals in its crude oil transportation and services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Miles of Crude</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80"/>
        </w:trPr>
        <w:tc>
          <w:tcPr>
            <w:tcW w:w="480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color w:val="auto"/>
              </w:rPr>
              <w:t>Description of Assets</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Ownership Interest</w:t>
            </w: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29"/>
        </w:trPr>
        <w:tc>
          <w:tcPr>
            <w:tcW w:w="480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Pipeline</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(MBbls)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Dakota Access Pipeline</w:t>
            </w: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Crude Oil Pipeline</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Bayou Bridge Pipeline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 Express Pipelines</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Wattenberg Oil Trunkline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White Cliffs Pipeline</w:t>
            </w:r>
            <w:r>
              <w:rPr>
                <w:rFonts w:ascii="Times New Roman" w:cs="Times New Roman" w:eastAsia="Times New Roman" w:hAnsi="Times New Roman"/>
                <w:sz w:val="23"/>
                <w:szCs w:val="23"/>
                <w:color w:val="auto"/>
                <w:vertAlign w:val="superscript"/>
              </w:rPr>
              <w:t>(1)</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Maurepas Pipeline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Crude Oil Pipelines</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Nederland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Mifflin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Point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Midland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Marcus Hook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Houston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Cushing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Patoka, Illinois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4800" w:type="dxa"/>
            <w:vAlign w:val="bottom"/>
          </w:tcPr>
          <w:p>
            <w:pPr>
              <w:spacing w:after="0"/>
              <w:rPr>
                <w:sz w:val="24"/>
                <w:szCs w:val="24"/>
                <w:color w:val="auto"/>
              </w:rPr>
            </w:pPr>
          </w:p>
        </w:tc>
        <w:tc>
          <w:tcPr>
            <w:tcW w:w="17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White Cliffs Pipeline consists of two parallel, 12-inch common carrier pipelines: one crude oil pipeline and one NGL pipeline.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crude oil operations consist of an integrated set of pipeline, terminalling, trucking and acquisition and marketing assets that service the movement of crude oil from producers to end-user markets. The following details our assets in the crude oil transportation and services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Pipelines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crude oil pipelines consist of approximately 11,315 miles of crude oil trunk and gathering pipelines in the southwest, northwest and midwest United States, including our wholly-owned interests in West Texas Gulf, Permian Express Terminal LLC, Mid-Valley and Wattenberg Oil Trunkline. Additionally, we have equity ownership interests in six crude oil pipelines.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73" w:lineRule="exact"/>
        <w:rPr>
          <w:sz w:val="20"/>
          <w:szCs w:val="20"/>
          <w:color w:val="auto"/>
        </w:rPr>
      </w:pPr>
    </w:p>
    <w:p>
      <w:pPr>
        <w:jc w:val="both"/>
        <w:ind w:left="340" w:hanging="332"/>
        <w:spacing w:after="0" w:line="258" w:lineRule="auto"/>
        <w:tabs>
          <w:tab w:leader="none" w:pos="3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Bakken Pipeline. </w:t>
      </w:r>
      <w:r>
        <w:rPr>
          <w:rFonts w:ascii="Times New Roman" w:cs="Times New Roman" w:eastAsia="Times New Roman" w:hAnsi="Times New Roman"/>
          <w:sz w:val="18"/>
          <w:szCs w:val="18"/>
          <w:color w:val="auto"/>
        </w:rPr>
        <w:t>The Dakota Access Pipeline and Energy Transfer Crude Oil Pipeline are collectively referred to as the “Bakken Pipeline.”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Bakken Pipeline is a 1,915-mile pipeline that transports domestically produced crude oil from the Bakken/Three Forks production areas in North Dakota to a storage and terminal hub outside of Patoka, Illinois, or to gulf coast connections including our crude terminal in Nederland, Texas. The Bakken Pipeline has a capacity of up to 750 MBbls/d. The pipeline transports light, sweet crude oil from North Dakota to major refining markets in the Midwest and Gulf Coast regions.</w:t>
      </w:r>
    </w:p>
    <w:p>
      <w:pPr>
        <w:spacing w:after="0" w:line="77"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Dakota Access Pipeline consists of approximately 1,170 miles of 12, 20, 24 and 30-inch diameter pipeline traversing North Dakota, South Dakota, Iowa and Illinois. Crude oil transported on the Dakota Access Pipeline originates at six terminal locations in the North Dakota counties of Mountrail, Williams and McKenzie. The pipeline delivers the crude oil to a hub outside of Patoka, Illinois where it can be delivered to the Energy Transfer Crude Oil Pipeline for delivery to the Gulf Coast or can be transported via other pipelines to refining markets throughout the Midwest.</w:t>
      </w:r>
    </w:p>
    <w:p>
      <w:pPr>
        <w:spacing w:after="0" w:line="71"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Energy Transfer Crude Oil Pipeline consists of approximately 675 miles of mostly 30-inch converted natural gas pipeline and 70 miles of new 30-inch pipeline from Patoka, Illinois to Nederland, Texas, where the crude oil can be refined or further transported to additional refining markets.</w:t>
      </w:r>
    </w:p>
    <w:p>
      <w:pPr>
        <w:spacing w:after="0" w:line="51" w:lineRule="exact"/>
        <w:rPr>
          <w:rFonts w:ascii="Times New Roman" w:cs="Times New Roman" w:eastAsia="Times New Roman" w:hAnsi="Times New Roman"/>
          <w:sz w:val="18"/>
          <w:szCs w:val="18"/>
          <w:i w:val="1"/>
          <w:iCs w:val="1"/>
          <w:color w:val="auto"/>
        </w:rPr>
      </w:pPr>
    </w:p>
    <w:p>
      <w:pPr>
        <w:jc w:val="both"/>
        <w:ind w:left="340" w:hanging="332"/>
        <w:spacing w:after="0" w:line="258" w:lineRule="auto"/>
        <w:tabs>
          <w:tab w:leader="none" w:pos="3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Bayou Bridge Pipeline. </w:t>
      </w:r>
      <w:r>
        <w:rPr>
          <w:rFonts w:ascii="Times New Roman" w:cs="Times New Roman" w:eastAsia="Times New Roman" w:hAnsi="Times New Roman"/>
          <w:sz w:val="18"/>
          <w:szCs w:val="18"/>
          <w:color w:val="auto"/>
        </w:rPr>
        <w:t>The Bayou Bridge Pipeline is a joint venture between Energy Transfer and a subsidiary of Phillips 66, in which we have a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 and serve as the operator of the pipeline. Phase I of the pipeline is a 30-inch pipeline from Nederland, Texas to Lake Charles, Louisiana, and Phase II of the pipeline, is a 24-inch pipe from Lake Charles, Louisiana to St. James, Louisiana. Bayou Bridge Pipeline has a capacity of approximately 480 MBbls/d of light and heavy crude oil from different sources to the St. James crude oil hub, which is home to important refineries located in the Gulf Coast region.</w:t>
      </w:r>
    </w:p>
    <w:p>
      <w:pPr>
        <w:spacing w:after="0" w:line="75"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Permian Express Pipelines. </w:t>
      </w:r>
      <w:r>
        <w:rPr>
          <w:rFonts w:ascii="Times New Roman" w:cs="Times New Roman" w:eastAsia="Times New Roman" w:hAnsi="Times New Roman"/>
          <w:sz w:val="18"/>
          <w:szCs w:val="18"/>
          <w:color w:val="auto"/>
        </w:rPr>
        <w:t>The Permian Express pipelines are part of the PEP joint venture and include the Permian Express 1, Permian Express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Permian Express 3, Permian Express 4, Permian Longview, Louisiana Access, Longview to Louisiana and Nederland Access pipelines. These pipelines are comprised of crude oil trunk pipelines and crude oil gathering pipelines in Texas and Oklahoma and provide takeaway capacity from the Permian Basin, with origins in multiple locations in West Texas.</w:t>
      </w:r>
    </w:p>
    <w:p>
      <w:pPr>
        <w:spacing w:after="0" w:line="71"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White Cliffs Crude Pipeline. </w:t>
      </w:r>
      <w:r>
        <w:rPr>
          <w:rFonts w:ascii="Times New Roman" w:cs="Times New Roman" w:eastAsia="Times New Roman" w:hAnsi="Times New Roman"/>
          <w:sz w:val="18"/>
          <w:szCs w:val="18"/>
          <w:color w:val="auto"/>
        </w:rPr>
        <w:t>White Cliffs Pipeline owns a 12-inch common carrier, crude oil pipeline, with a throughput capacity of 100 MBbls/d,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transports crude oil from Platteville, Colorado to Cushing, Oklahoma.</w:t>
      </w:r>
    </w:p>
    <w:p>
      <w:pPr>
        <w:spacing w:after="0" w:line="50"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Maurepas Pipeline. </w:t>
      </w:r>
      <w:r>
        <w:rPr>
          <w:rFonts w:ascii="Times New Roman" w:cs="Times New Roman" w:eastAsia="Times New Roman" w:hAnsi="Times New Roman"/>
          <w:sz w:val="18"/>
          <w:szCs w:val="18"/>
          <w:color w:val="auto"/>
        </w:rPr>
        <w:t>The Maurepas Pipeline consists of three pipelines, with an aggregate throughput capacity of 460 MBbls/d, which service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Gulf Coast region.</w:t>
      </w:r>
    </w:p>
    <w:p>
      <w:pPr>
        <w:spacing w:after="0" w:line="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Crude Oil pipelines include the Mid-Valley pipeline system which originates in Longview, Texas and passes through Louisiana, Arkansas, Mississippi, Tennessee, Kentucky and Ohio and terminates in Samaria, Michigan. This pipeline provides crude oil to a number of refineries, primarily in the Midwest United States.</w:t>
      </w:r>
    </w:p>
    <w:p>
      <w:pPr>
        <w:spacing w:after="0" w:line="67"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own a crude oil pipeline that runs from Marysville, Michigan to Toledo, Ohio, and a truck injection point for local production at Marysville. This pipeline receives crude oil from the Enbridge pipeline system for delivery to refineries located in Toledo, Ohio and to MPLX’s Samaria, Michigan tank farm, which supplies Marathon Petroleum Corporation’s refinery in Detroit, Michigan.</w:t>
      </w:r>
    </w:p>
    <w:p>
      <w:pPr>
        <w:spacing w:after="0" w:line="67"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own and operate crude oil pipeline and gathering systems in Oklahoma and Kansas. We have the ability to deliver substantially all of the crude oil gathered on our Oklahoma and Kansas systems to Cushing, Oklahoma. We are one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largest purchasers of crude oil from producers in the area and our crude oil acquisition and marketing activities business is the primary shipper on our Oklahoma crude oil system.</w:t>
      </w:r>
    </w:p>
    <w:p>
      <w:pPr>
        <w:spacing w:after="0" w:line="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also own crude oil and condensate gathering assets in the Anadarko Basin and the Williston Basin. The Anadarko Basin assets were designed and built to serve the crude oil and condensate production in the SCOOP and STACK plays. A portion of these operations are conducted through Enable South Central Pipeline, a joint venture with a subsidiary of CVR Energy, Inc., which is operated by us and in which we own a 60% membership interest. The Williston Basin crude oil and produced water gathering assets were designed and built to receive crude oil on pipelines near our customers’ wells for delivery to third-party transportation pipelines, and produced water gathering pipelines for delivery to third-party disposal wells.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Terminals</w:t>
      </w:r>
    </w:p>
    <w:p>
      <w:pPr>
        <w:spacing w:after="0" w:line="117" w:lineRule="exact"/>
        <w:rPr>
          <w:sz w:val="20"/>
          <w:szCs w:val="20"/>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Nederland. </w:t>
      </w:r>
      <w:r>
        <w:rPr>
          <w:rFonts w:ascii="Times New Roman" w:cs="Times New Roman" w:eastAsia="Times New Roman" w:hAnsi="Times New Roman"/>
          <w:sz w:val="18"/>
          <w:szCs w:val="18"/>
          <w:color w:val="auto"/>
        </w:rPr>
        <w:t>The Nederland Terminal, located on the Sabine-Neches waterway between Beaumont and Port Arthur, Texas, is a large marine terminal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31 MMBbls in approximately 150 above ground storage tanks with individual capacities of up to 660 MBbls.</w:t>
      </w:r>
    </w:p>
    <w:p>
      <w:pPr>
        <w:spacing w:after="0" w:line="73"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can receive crude oil at three of its six ship docks and three of its four barge berths. The three ship docks are capable of receiving over 2 MMBbls/d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MMBbls. The terminal also has crude oil rail unloading facilities, including steam availability for heating heavy oils prior to loading.</w:t>
      </w:r>
    </w:p>
    <w:p>
      <w:pPr>
        <w:spacing w:after="0" w:line="7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MMBbls/d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6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Fort Mifflin. </w:t>
      </w:r>
      <w:r>
        <w:rPr>
          <w:rFonts w:ascii="Times New Roman" w:cs="Times New Roman" w:eastAsia="Times New Roman" w:hAnsi="Times New Roman"/>
          <w:sz w:val="18"/>
          <w:szCs w:val="18"/>
          <w:color w:val="auto"/>
        </w:rPr>
        <w:t>The Fort Mifflin terminal complex is located on the Delaware River in Philadelphia, Pennsylvania and includes the Fort Mifflin terminal,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Hog Island wharf, the Darby Creek tank farm and connecting pipelines. The Fort Mifflin terminal contains two ship docks with freshwater drafts and a total storage capacity of approximately 570 MBbls. Crude oil and some refined products enter the Fort Mifflin terminal primarily from marine vessels on the Delaware River.</w:t>
      </w:r>
    </w:p>
    <w:p>
      <w:pPr>
        <w:spacing w:after="0" w:line="7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Hog Island wharf is located next to the Fort Mifflin terminal on the Delaware River and receives crude oil via two ship docks. The Darby Creek tank farm is a primary crude oil storage terminal that receives crude oil from the Fort Mifflin terminal and Hog Island wharf via our pipelines and has a total storage capacity of approximately 2.7 MMBbls.</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Eagle Point. </w:t>
      </w:r>
      <w:r>
        <w:rPr>
          <w:rFonts w:ascii="Times New Roman" w:cs="Times New Roman" w:eastAsia="Times New Roman" w:hAnsi="Times New Roman"/>
          <w:sz w:val="18"/>
          <w:szCs w:val="18"/>
          <w:color w:val="auto"/>
        </w:rPr>
        <w:t>The Eagle Point terminal is located in Westville, New Jersey and consists of docks, truck loading facilities and a tank farm. The docks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on the Delaware River and can accommodate three marine vessels (ships or barges) to receive and deliver crude oil, intermediate products and refined products to outbound ships and barges. The tank farm has a total active storage capacity of approximately 1.8 MMBbls and can receive crude oil via barge and rail and deliver via ship and barge, providing customers with access to various markets. The terminal generates revenue primarily by charging fees based on throughput, blending services and storage.</w:t>
      </w:r>
    </w:p>
    <w:p>
      <w:pPr>
        <w:spacing w:after="0" w:line="7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Midland. </w:t>
      </w:r>
      <w:r>
        <w:rPr>
          <w:rFonts w:ascii="Times New Roman" w:cs="Times New Roman" w:eastAsia="Times New Roman" w:hAnsi="Times New Roman"/>
          <w:sz w:val="18"/>
          <w:szCs w:val="18"/>
          <w:color w:val="auto"/>
        </w:rPr>
        <w:t>The Midland terminal is located in Midland, Texas and includes approximately 1 MMBbls of crude oil storage, a combined 20 lanes of truck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loading and unloading, and provides access to the Permian Express 2 pipeline.</w:t>
      </w:r>
    </w:p>
    <w:p>
      <w:pPr>
        <w:spacing w:after="0" w:line="50"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Marcus Hook. </w:t>
      </w:r>
      <w:r>
        <w:rPr>
          <w:rFonts w:ascii="Times New Roman" w:cs="Times New Roman" w:eastAsia="Times New Roman" w:hAnsi="Times New Roman"/>
          <w:sz w:val="18"/>
          <w:szCs w:val="18"/>
          <w:color w:val="auto"/>
        </w:rPr>
        <w:t>The Marcus Hook Terminal can receive crude oil via marine vessel and can deliver via marine vessel and pipeline. The terminal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active crude oil storage capacity of approximately 1 MMBbls.</w:t>
      </w:r>
    </w:p>
    <w:p>
      <w:pPr>
        <w:spacing w:after="0" w:line="50"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Patoka, Illinois. </w:t>
      </w:r>
      <w:r>
        <w:rPr>
          <w:rFonts w:ascii="Times New Roman" w:cs="Times New Roman" w:eastAsia="Times New Roman" w:hAnsi="Times New Roman"/>
          <w:sz w:val="18"/>
          <w:szCs w:val="18"/>
          <w:color w:val="auto"/>
        </w:rPr>
        <w:t>The Patoka, Illinois terminal is a tank farm owned by the PEP joint venture and is located in Marion County, Illinois. The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234 acres of owned land and provides for approximately 1.9 MMBbls of crude oil storage.</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Houston. </w:t>
      </w:r>
      <w:r>
        <w:rPr>
          <w:rFonts w:ascii="Times New Roman" w:cs="Times New Roman" w:eastAsia="Times New Roman" w:hAnsi="Times New Roman"/>
          <w:sz w:val="18"/>
          <w:szCs w:val="18"/>
          <w:color w:val="auto"/>
        </w:rPr>
        <w:t>The Houston Terminal consists of storage tanks located on the Houston Ship Channel with an aggregate storage capacity of 18.2 MMBbls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store, blend and transport refinery products and refinery feedstocks via pipeline, barge, rail, truck and ship. This facility has five deep-water ship docks on the Houston Ship Channel capable of loading and unloading Suezmax cargo vessels and seven barge docks which can accommodate 23 barges simultaneously, three crude oil pipelines connecting to four refineries and numerous rail and truck loading spots.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1"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Cushing. </w:t>
      </w:r>
      <w:r>
        <w:rPr>
          <w:rFonts w:ascii="Times New Roman" w:cs="Times New Roman" w:eastAsia="Times New Roman" w:hAnsi="Times New Roman"/>
          <w:sz w:val="18"/>
          <w:szCs w:val="18"/>
          <w:color w:val="auto"/>
        </w:rPr>
        <w:t>The Cushing Terminal has approximately 7.6 MMBbls of crude oil storage, of which 5.6 MMBbls are leased to customers and 2.0 MMBbls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for crude oil operations, blending and marketing activities. The storage terminal has inbound connections with the White Cliffs Pipeline from Platteville, Colorado, the Great Salt Plains Pipeline from Cherokee, Oklahoma, the Cimarron Pipeline from Boyer, Kansas, and two-way connections with all of the other major storage terminals in Cushing. The Cushing terminal also includes truck unloading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Acquisition and Marketing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crude oil acquisition and marketing operations are conducted using our assets, which include approximately 363 crude oil transport trucks, 350 trailers and approximately 166 crude oil truck unloading facilities, as well as third-party truck, rail, pipeline and marine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Sunoco 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LP’s fuel distribution and marketing operations are conducted by the following consolidated subsidiaries:</w:t>
      </w:r>
    </w:p>
    <w:p>
      <w:pPr>
        <w:spacing w:after="0" w:line="117" w:lineRule="exact"/>
        <w:rPr>
          <w:sz w:val="20"/>
          <w:szCs w:val="20"/>
          <w:color w:val="auto"/>
        </w:rPr>
      </w:pPr>
    </w:p>
    <w:p>
      <w:pPr>
        <w:jc w:val="both"/>
        <w:ind w:left="340" w:hanging="332"/>
        <w:spacing w:after="0" w:line="266" w:lineRule="auto"/>
        <w:tabs>
          <w:tab w:leader="none" w:pos="2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Sunoco, LLC (“Sunoco LLC”), a Delaware limited liability company, primarily distributes motor fuel in more than 40 states and territories throughout the East Coast, Midwest, South Central and Southeast regions of the United States. Sunoco LLC also processes transmix and distributes refined product through its terminals in Alabama, Arkansas, Florida, Indiana, Illinois, Maryland, New Jersey, New York, Texas and Virginia;</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2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Sunoco Retail LLC (formerly Sunoco Property Company LLC) (“Sunoco Retail”), a Pennsylvania limited liability company, owns and operates retail stores that sell motor fuel and merchandise primarily in New Jersey and distributes motor fuel in Puerto Rico. Sunoco Retail also leases owned sites to commissioned agents who sell motor fuels to the motoring public on Sunoco Retail’s behalf for a commission;</w:t>
      </w:r>
    </w:p>
    <w:p>
      <w:pPr>
        <w:spacing w:after="0" w:line="6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Aloha Petroleum LLC, a Delaware limited liability company, distributes motor fuel and operates terminal facilities on the Hawaiian Islands;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Aloha Petroleum, Ltd. (“Aloha”), a Hawaii corporation, owns and operates retail stores on the Hawaiian Islands and leases owned sites to commission agents who sell motor fuels on Aloha’s behalf for a commission.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Sunoco LP purchases motor fuel primarily from independent refiners and major oil companies and distributes it throughout the East Coast, Midwest, South Central and Southeast regions of the United States, as well as Hawaii to:</w:t>
      </w:r>
    </w:p>
    <w:p>
      <w:pPr>
        <w:spacing w:after="0" w:line="5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company owned and operated retail stores;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 independently operated commission agent locations where Sunoco LP sells motor fuel to customers under commission agent arrangements with such operators;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6,897 retail stores operated by independent operators, which are referred to as “dealers” or “distributors,” pursuant to long-term distribution agreements; and</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1,800 other commercial customers, including unbranded retail stores, other fuel distributors, school districts and municipalities and other industrial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LP’s operations also include retail operations in Hawaii and New Jersey, credit card services and franchise royalties.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assets of USAC:</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USAC’s modern, standardized compression unit fleet is powered primarily by the Caterpillar, Inc.’s 3400, 3500 and 3600 engine classes, which range from 401 to 5,000 horsepower per unit. These larger horsepower units, which USAC defines as 400 horsepower per unit or greater, represented 87.1% of its total fleet horsepower as of December 31, 2022. The remainder of its fleet consists of smaller horsepower units ranging from 40 horsepower to 399 horsepower that are primarily used in gas lift applications.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USAC’s compression units by horsepower as of December 31,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Fleet</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Horsepower 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Percent of Fleet</w:t>
            </w: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Units on</w:t>
            </w:r>
          </w:p>
        </w:tc>
        <w:tc>
          <w:tcPr>
            <w:tcW w:w="12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 Horsepower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Horsepower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Units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Order (1)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Order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Small horsepower</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&lt;400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502,012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502,012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Large horsepower</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&gt;400 and &lt;1,000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428,947</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&gt;1,000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2,785,895</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2,950,895</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large horsepower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3,214,842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3,379,842</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horsepower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3,716,854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3,881,854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2022, USAC had 66 large horsepower units, consisting of 165,000 horsepower, on order for delivery during 2023.</w:t>
      </w:r>
    </w:p>
    <w:p>
      <w:pPr>
        <w:spacing w:after="0" w:line="8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All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significant assets in the “All Other”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Compression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Dual Drive Technologies, Ltd, which provides compression services to customers engaged in the transportation of natural gas, including our other segments.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Resources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2022, we owned or controlled approximately 733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Operations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2022, we completed the sale of our 51% ownership interest in Energy Transfer Canada, which owns processing and gathering facilities in Alberta, Canada.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business strategies of our core businesses: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through acquisitions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continue to make strategic acquisitions that offer the opportunity for operational efficiencies and the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increased utilization and expansion of our existing assets while supporting our investment grade credit ratings.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 in construction and expansion opportunities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leverage our existing infrastructure and customer relationships by constructing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expanding systems to meet new or increased demand for midstream and transportation services.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 cash flow from fee-based businesses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increase the percentage of our business conducted with third parties under fee-based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in order to provide for stable, consistent cash flows over long contract periods while reducing exposure to changes in commodity prices.</w:t>
      </w:r>
    </w:p>
    <w:p>
      <w:pPr>
        <w:spacing w:after="0" w:line="1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 profitability of existing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increase the profitability of our existing asset base by adding new volumes under long-term producer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undertaking additional initiatives to enhance utilization and reducing costs by improving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Refined Products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markets served by our crude oil and refined products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Fuel Distribution and Retail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 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 retail gasoline business with convenience stores that provide a wide variety of products, and using advertising and promotional campaigns.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ind w:right="1220"/>
        <w:spacing w:after="0" w:line="435" w:lineRule="auto"/>
        <w:rPr>
          <w:sz w:val="20"/>
          <w:szCs w:val="20"/>
          <w:color w:val="auto"/>
        </w:rPr>
      </w:pPr>
      <w:r>
        <w:rPr>
          <w:rFonts w:ascii="Times New Roman" w:cs="Times New Roman" w:eastAsia="Times New Roman" w:hAnsi="Times New Roman"/>
          <w:sz w:val="18"/>
          <w:szCs w:val="18"/>
          <w:color w:val="auto"/>
        </w:rPr>
        <w:t xml:space="preserve">During the year ended December 31, 2022, none of our customers individually accounted for more than 10% of our consolidated revenues. </w:t>
      </w:r>
      <w:r>
        <w:rPr>
          <w:rFonts w:ascii="Times New Roman" w:cs="Times New Roman" w:eastAsia="Times New Roman" w:hAnsi="Times New Roman"/>
          <w:sz w:val="18"/>
          <w:szCs w:val="18"/>
          <w:b w:val="1"/>
          <w:bCs w:val="1"/>
          <w:u w:val="single" w:color="auto"/>
          <w:color w:val="auto"/>
        </w:rPr>
        <w:t>Regulation</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Interstate Natural Gas Pipelines. </w:t>
      </w:r>
      <w:r>
        <w:rPr>
          <w:rFonts w:ascii="Times New Roman" w:cs="Times New Roman" w:eastAsia="Times New Roman" w:hAnsi="Times New Roman"/>
          <w:sz w:val="18"/>
          <w:szCs w:val="18"/>
          <w:color w:val="auto"/>
        </w:rPr>
        <w:t>The FERC has broad regulatory authority over the business and operations of interstate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pipelines. Under the NGA, the FERC generally regulates the transportation of natural gas in interstate commerce. For FERC regulatory purposes, “transportation” includes natural gas pipeline transmission (forwardhauls and backhauls), storage and other services. FGT, Transwestern, Panhandle, Trunkline, Tiger, Fayetteville Express, Rover, Sea Robin, Midcontinent Express, EGT, MRT, SESH, Stingray and Southwest Gas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FERC’s NGA authority includes the power to:</w:t>
      </w:r>
    </w:p>
    <w:p>
      <w:pPr>
        <w:spacing w:after="0" w:line="1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siting, construction and operation of new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transportation rates;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of services our regulated assets are permitted to perform;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terms and conditions associated with these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extension or abandonment of services and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maintenance of accounts and records;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acquisition and disposition of facilities.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 tariffs offer a cost-based recourse rate to a prospective shipper as an alternative to the negotiated rate. Natural gas companies must make offers of rate discounts and negotiated rates on a basis that is not unduly discriminatory. Existing tariff rates may be challenged by complaint or on the FERC’s own motion, and if found unjust and unreasonable, may be altered on a prospective basis from no earlier than the date of the complaint or initiation of a proceeding by the FERC. The FERC must also approve all rate changes. We cannot guarantee that the FERC will allow us to charge rates that fully recover our costs or continue to pursue its approach of pro-competitive policies.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FERC’s rules promulgated under the Energy Policy 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and/or the CFTC. These agencies hold substantial enforcement authority, including the ability to assess or seek civil penalties of up to approximately $1.5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 NGA, the Energy Policy Act of 2005, the CEA and the other federal laws and regulations governing our operations and business activities can result in the imposition of administrative, civil and criminal remedies.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Intrastate Natural Gas and NGL Pipelines. </w:t>
      </w:r>
      <w:r>
        <w:rPr>
          <w:rFonts w:ascii="Times New Roman" w:cs="Times New Roman" w:eastAsia="Times New Roman" w:hAnsi="Times New Roman"/>
          <w:sz w:val="18"/>
          <w:szCs w:val="18"/>
          <w:color w:val="auto"/>
        </w:rPr>
        <w:t>Intrastate transportation of natural gas and NGLs is largely regulated by the state in which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transportation takes place. To the extent that our intrastate natural gas transportation systems transport natural gas in interstate commerce, the rates and terms and conditions of such services are subject to FERC jurisdiction under Section 311 of the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our pipeline systems of Enable Oklahoma Intrastate Transmission, LLC, Oasis Pipeline, LP, Houston Pipe Line Company LP, ETC Katy Pipeline, LLC, Energy Transfer Fuel, LP, , Lobo Pipeline Company, LLC, Pelico Pipeline, LLC, Regency Intrastate Gas LP, Red Bluff Express Pipeline, LLC, Trans-Pecos Pipeline, LLC and Comanche Trail Pipeline, LLC are subject to FERC regulation pursuant to Section 311 of the NGPA. Under Section 311, rates charged for intrastate transportation must be fair and equitable, and amounts collected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 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the FERC under the Interstate Commerce Act (“ICA”) and the Energy Policy Act of 1992 (the “EPAct of 1992”) if the NGLs are transported in interstate or foreign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commerce whether by our pipelines or other means of transportation. Since we do not control the entire transportation path of all NGLs shipped on our pipelines, FERC regulation could be triggered by our customers’ transportation decisions.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Sales of Natural Gas and NGLs. </w:t>
      </w:r>
      <w:r>
        <w:rPr>
          <w:rFonts w:ascii="Times New Roman" w:cs="Times New Roman" w:eastAsia="Times New Roman" w:hAnsi="Times New Roman"/>
          <w:sz w:val="18"/>
          <w:szCs w:val="18"/>
          <w:color w:val="auto"/>
        </w:rPr>
        <w:t>The price at which we buy and sell natural gas currently is not subject to federal regulation and,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part, is not subject to state regulation. The price at which we sell NGLs is not subject to federal or state regulation.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frequently proposes and implements new rules and regulations affecting those segments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Gathering Pipelines. </w:t>
      </w:r>
      <w:r>
        <w:rPr>
          <w:rFonts w:ascii="Times New Roman" w:cs="Times New Roman" w:eastAsia="Times New Roman" w:hAnsi="Times New Roman"/>
          <w:sz w:val="18"/>
          <w:szCs w:val="18"/>
          <w:color w:val="auto"/>
        </w:rPr>
        <w:t>Section 1(b) of the NGA exempts natural gas gathering facilities from the jurisdiction of the FERC under the NGA.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own a number of natural gas pipelines in Texas, Louisiana and West Virginia that we believe meet the traditional tests the FERC uses to establish a pipeline’s status as a gathering pipeline not subject to FERC jurisdiction. However, 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 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Interstate Crude Oil, NGL and Products Pipelines. </w:t>
      </w:r>
      <w:r>
        <w:rPr>
          <w:rFonts w:ascii="Times New Roman" w:cs="Times New Roman" w:eastAsia="Times New Roman" w:hAnsi="Times New Roman"/>
          <w:sz w:val="18"/>
          <w:szCs w:val="18"/>
          <w:color w:val="auto"/>
        </w:rPr>
        <w:t>Interstate common carrier pipeline operations are subject to rate regulation by the FERC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ICA, the EPAct of 1992, and related rules and orders. The ICA requires that tariff rates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 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 party if the third 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July 2016, the United States Court of Appeals for the District of Columbia Circuit issued an opinion in United Airlines, Inc., et al. v. FERC, finding that the FERC had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the FERC’s order and remanded to the FERC to consider mechanisms for demonstrating that there is no double recovery as a result of the income tax allowance.</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2018, the FERC issued a Revised Policy Statement on Treatment of Income Taxes in which the FERC found that an impermissible double recovery results from granting an MLP pipeline both an income tax allowance and a return on equity pursuant to the FERC’s discounted cash flow methodology. The FERC revised its previous policy, stating that it would no longer permit an MLP pipeline to recover an income tax allowance in its cost of service. The FERC stated it will address the application of the United Airlines decision to non-MLP partnership forms as those issues arise in subsequent proceedings. In July 2018, the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 On July 31, 2020, the United States Court of Appeals for the District of Columbia Circuit issued an opinion upholding FERC’s March 2018 Revised Policy Statement, as clarified and revised on rehearing. In light of the rehearing order’s clarification regarding individual entities’ ability to argue in support of recovery of an income tax allowance and the court’s subsequent opinion upholding denial of an income tax allowance to a master limited partnership, the impacts the FERC’s policy on the treatment of income taxes may have on the rates an interstate pipeline held in a tax-pass-through entity can charge for the FERC regulated transportation services are unknown at this time. Please see “Item 1A. Risk Factors - Regulatory Matters.”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2018, the 2017 Tax Cuts and Jobs Act changed several provisions of the federal tax code, including a reduction in the maximum corporate tax rate. With the lower tax rate, and as discussed immediately above, the maximum tariff rates allowed by the FERC under its rate base methodology may be impacted by a lower income tax allowance component. Many of our interstate pipelines, such as Tiger, Midcontinent Express and Fayetteville Express, have negotiated market rates that were agreed to by customers in connection with long-term contracts entered into to support the construction of the pipelines, and the rate base methodology does not apply directly to these contracts. Other systems, such as FGT, Transwestern and Panhandle, have a mix of tariff rate, discount rate, and negotiated rate agreements. In addition, several of these pipelines are covered by approved settlements, pursuant to which rate filings will be made in the future. As such, the timing and impact to these systems of any tax-related policy change is unknown at this time and varies based on the circumstances of each pipeline.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EPAct of 1992 required the FERC to establish a simplified and generally applicable methodology to adjust tariff rates for inflation for interstate petroleum pipelines. As a result, the FERC adopted an indexing rate methodology which, as currently in effect, allows common carriers to change their rates within prescribed ceiling levels that are tied to changes in the Producer Price Index for Finished Goods, or PPI-FG. The FERC’s indexing methodology is subject to review every five years.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2020, FERC issued an order setting the indexed rate at PPI-FG plus 0.78% during the five-year period commencing July 1, 2021 and ending June 30, 2026.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indexed ceilings annually by PPI-FG minus 0.21%. FERC directed liquids pipelines to recompute their ceiling levels for July 1, 2021 through June 30, 2022, as well as the ceiling levels for the period July 1, 2022 through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have appealed the January 20 and May 6 orders. Such appeals remain pending at the D.C. Circuit.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2017, the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the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the FERC clarify its November 2017 order or, in the alternative, grant rehearing of the November 2017 order. The FERC denied requests for rehearing of the November 17 order on December 15, 2022.</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on December 15, 2022, the FERC issued a Proposed Policy Statement on Oil Pipeline Affiliate Committed Service, which addresses whether a contract for committed transportation service complies with the Interstate Commerce Act where the only shipper to obtain the committed service is an affiliate of the regulated entity. If adopted, the proposed policy statement would create a rebuttable presumption that affiliate contracts are unduly discriminatory and not just and reasonable in certain circumstances and require a pipeline to produce additional evidentiary support for affiliate contracts rates and terms. This follows a trend of increased scrutiny by FERC on affiliated contracts across all industries regulated by the FERC. Initial comments on the proposed policy statement are due on February 13, 2023.</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Intrastate Crude Oil, NGL and Products Pipelines. </w:t>
      </w:r>
      <w:r>
        <w:rPr>
          <w:rFonts w:ascii="Times New Roman" w:cs="Times New Roman" w:eastAsia="Times New Roman" w:hAnsi="Times New Roman"/>
          <w:sz w:val="18"/>
          <w:szCs w:val="18"/>
          <w:color w:val="auto"/>
        </w:rPr>
        <w:t>Some of our crude oil, NGL and products pipelines are subject to regulation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TRRC, 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 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noted above, the rates, terms and conditions for shipments of crude oil, NGLs or products on our pipelines could be subject to regulation by the FERC under the ICA and the EPAct of 1992 if the crude oil, NGLs or products are transported in interstate or foreign commerce whether by our pipelines or other means of transportation. Since we do not control the entire transportation path of all crude oil, NGLs or products shipped on our pipelines, FERC regulation could be triggered by our customers’ transportation decisions.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Pipeline Safety. </w:t>
      </w:r>
      <w:r>
        <w:rPr>
          <w:rFonts w:ascii="Times New Roman" w:cs="Times New Roman" w:eastAsia="Times New Roman" w:hAnsi="Times New Roman"/>
          <w:sz w:val="18"/>
          <w:szCs w:val="18"/>
          <w:color w:val="auto"/>
        </w:rPr>
        <w:t>Our pipeline operations are subject to regulation by the DOT, through PHMSA, pursuant to the Natural Gas Pipeline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HLPSA and NGPSA have been amended by the Pipeline Safety, Regulatory Certainty, and Job Creation Act of 2011 (“2011 Pipeline Safety Act”) and the Protecting Our Infrastructure of Pipelines and Enhancing Safety Act of 2016. The 2011 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$0.1 million to $0.2 million for a single violation and from $1 million to $2 million for a related series of violations, but provided that these maximum penalty caps do not apply to certain civil enforcement actions. In May 2021, PHMSA issued a final rule increasing those maximum civil penalties to approximately $0.2 million per day, with a maximum of approximately $2 million for a series of violations, to account for inflation. Upon reauthorization of PHMSA, Congress often directs the agency to complete certain rulemakings. For 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 To that end, in November 2021, PHMSA issued a final rule significantly expanding reporting and safety requirements of operators of gas gathering pipelines. The rule imposes safety regulations on approximately 400,000 miles of previously unregulated onshore gas gathering lines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Additionally, in June 2021, PHMSA issued an Advisory Bulletin advising pipeline and pipeline facility operators of applicable requirements to update their inspection and maintenance plans for the elimination of hazardous leaks and minimization of natural gas from related pipeline facilities. PHMSA, together with state regulators, are expected to commence and complete inspection of these plans in 2022.</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However, in October 2019, PHMSA published two further final rules, in addition to the November 2021 rule discussed above, that create or expand reporting, inspection, maintenance, and other pipeline safety obligations, including, among other things, extending pipeline integrity assessments to pipelines in certain locations, including newly-defined “Moderate Consequence Areas” (“MCAs”). Specifically, PHMSA issued a final rule imposing numerous requirements on onshore gas transmission pipelines relating to maximum allowable operating pressure (“MAOP”), reconfirmation and exceedance reporting, the integrity assessment of additional pipeline mileage found in MCAs, non-High Consequence Area (“HCAs”), and Class 3 and Class 4 areas by 2023, and the consideration of seismicity as a risk factor in integrity management. Establishing MAOP through reliance on historical pipeline design, construction, inspection, testing, and other records requires that such records be traceable, verifiable, and complete. Locating such records and, in the absence of any such records, verifying maximum pressures through physical testing (including hydrotesting) or modifying or replacing facilities to meet the demands of such pressures, could significantly increase our costs. Failure to locate such records or verify maximum pressures could result in reductions of allowable operating pressures, which would reduce available capacity on our pipelines. PHMSA’s second final rule, published in October 2019, applicable to hazardous liquid transmission and gathering pipelines, significantly extended and expanded the reach of certain integrity management requirements, use of in-line inspection tools by 2039 (unless the pipeline cannot be modified to permit such use), increased annual, accident, and safety-related conditional reporting requirements, and expanded use of leak detection systems beyond HCAs. The integrity-related requirements and other provisions of the 2011 Pipeline Safety Act, the 2016 Pipeline Safety Act, and the PIPES Act of 2020, as well as any implementation of PHMSA rules thereunder, could require us to pursue additional capital projects or conduct integrity or maintenance programs on an accelerated basis and incur increased operating costs that could have a material adverse effect on our results of operations and financial condition.</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changes or modifications may result in additional capital costs, possible operational delays and increased costs of operation that, in some instances, may be significant.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operation of processing plants, pipelines and associated facilities, including compression, in connection with the gathering,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and transmission of natural gas and the storage and transportation of NGLs, crude oil and refined products is subject to stringent U.S. federal, tribal, state and local laws and regulations, including those governing, among other things, air emissions, wastewater discharges, the use, management and disposal of hazardous and nonhazardous materials and wastes, and the cleanup of contamination. Similar or more stringent laws also exist in Canada.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about the future course of regulation continues to exist following the change in U.S. presidential administrations in January 2021. Upon taking office, the Biden Administration issued an executive order directing all federal agencies to review and take action to address any federal regulations promulgated during the prior administration that may be inconsistent with the current administration’s policies. As a result, several regulatory developments have occurred, but it remains unclear the degree to which this will continue. The executive order also established an Interagency Working Group on the Social Cost of Greenhouse Gases (“Working Group”), which is called on to, among other things, develop methodologies for calculating the “social cost of carbon,” “social cost of nitrous oxide” and “social cost of methane.” During 2021, the Working Group published interim estimates of the social costs of carbon, methane, and nitrous oxide and sought public comment on these estimates. The Working Group has not yet published its final recommendations.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Hazardous Substances and Waste Materials. </w:t>
      </w:r>
      <w:r>
        <w:rPr>
          <w:rFonts w:ascii="Times New Roman" w:cs="Times New Roman" w:eastAsia="Times New Roman" w:hAnsi="Times New Roman"/>
          <w:sz w:val="18"/>
          <w:szCs w:val="18"/>
          <w:color w:val="auto"/>
        </w:rPr>
        <w:t>To a large extent, the environmental laws and regulations affecting our operations relate to the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 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 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in 2016, the EPA entered into an agreement with several environmental groups to analyze certain Subtitle D criteria regulations pertaining to oil and gas wastes and, if necessary, revise them. In response to the decree, in April 2019, the EPA signed a determination that revision of the regulations is not necessary at this time.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 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accruals of $282 million and $293 million, respectively, were recorded in our consolidated balance sheets as accrued and other current liabilities and other non-current liabilities to cover estimated material environmental liabilities.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ETC Sunoco’s facilities and at formerly owned or third-party sites. Accruals for these environmental remediation activities amounted to $219 million and $234 million at December 31, 2022 and 2021, respectively, which is included in the total accruals above. These legacy sites that are subject to environmental assessments include formerly owned terminals and other logistics assets, retail sites that are no longer operated by ETC Sunoco, closed and/or sold refineries and other formerly owned sites. We have established a wholly-owned captive insurance company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2022, the captive insurance company held $145 million of cash and investments.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mitigation of off-site migration. A change in this approach as a result of changing the intended use of a property or a sale to a third party could result in a comparatively higher cost remediation strategy in the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$282 million in environmental accruals as of December 31, 2022.</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summary, 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$3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Air Emissions. </w:t>
      </w:r>
      <w:r>
        <w:rPr>
          <w:rFonts w:ascii="Times New Roman" w:cs="Times New Roman" w:eastAsia="Times New Roman" w:hAnsi="Times New Roman"/>
          <w:sz w:val="18"/>
          <w:szCs w:val="18"/>
          <w:color w:val="auto"/>
        </w:rPr>
        <w:t>Our operations are subject to the federal Clean Air Act, as amended, and comparable state laws and regulations. These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 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 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completed attainment/non-attainment designations in 2018, and states with moderate or high non-attainment areas must submit state implementation plans to the EPA by October 2021. By law, the EPA must review each NAAQS every five years. In December 2020, the EPA announced that it was retaining without revision the 2015 NAAQS for ozone. However, the Biden Administration has announced plans to formally review this decision and consider instituting a more stringent standard.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or other new regulations could, among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things, require installation of new emission controls on some of our equipment, result in longer permitting timelines, and significantly increase our capital expenditures and operating costs, which could adversely impact our business.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Clean Water Act. </w:t>
      </w:r>
      <w:r>
        <w:rPr>
          <w:rFonts w:ascii="Times New Roman" w:cs="Times New Roman" w:eastAsia="Times New Roman" w:hAnsi="Times New Roman"/>
          <w:sz w:val="18"/>
          <w:szCs w:val="18"/>
          <w:color w:val="auto"/>
        </w:rPr>
        <w:t>The Federal Water Pollution Control Act of 1972, as amended, (“Clean Water Act”) and comparable state laws impose restrictions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strict 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June 2015, the EPA and the USACE published a final rule attempting to clarify the federal jurisdictional reach over “waters of the United States” (“WOTUS”), but legal challenges to this rule followed. In January 2020, a new “waters of the United States” rule was finalized to replace the June 2015 rule, defining the following four categories of waters as WOTUS: traditional navigable waters and territorial seas; perennial and intermittent tributaries to those waters; lakes, ponds and impoundments of jurisdictional waters; and wetlands adjacent to jurisdictional waters. However, both the 2015 and 2020 rulemakings have been subject to legal challenges, and the Biden Administration has announced plans to establish its own definition of WOTUS. Most recently, the EPA and USACE published a proposed rulemaking to revoke the 2020 rule in favor of a pre-2015 definition until a new definition is proposed, which the Biden Administration has announced is underway. As a result of these developments, the scope of jurisdiction under the Clean Water Act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for over 35 years, the USACE has authorized construction, maintenance, and repair of pipelines under a streamlined Nationwide Permit (“NWP”) program. From time to time, environmental groups have challenged the NWP program, and, in April 2020, the U.S. District Court for the District of Montana determined that NWP 12 failed to comply with consultation requirements under the federal Endangered Species Act. The district court vacated NWP 12 and enjoined the issuance of new authorizations for oil and gas pipeline projects under the permit. In January 2021, the EPA and USACE issued a final rule reissuing and restricting NWP 12 to oil and gas pipelines and creating a new nationwide permit to authorize certain dredge and fill activities associated with utility lines conveying other substances such as brine, potable water, wastewater, and other substances excluding oil, natural gas, products derived from oil or natural gas, and electricity. The Biden Administration was asked to examine the final rule. Additionally, an October 2021 decision by the District Court for the Northern District of California resulted in the vacatur of a 2020 rule revising the Clean Water Act Section 401 certification process, following which, in November 2021, USACE announced that it has temporarily suspended finalization of certain permitting decisions, including under NWP 12, that rely on a Section 401 certification or waiver under the 2020 rule. While the full extent and impact of these vacaturs and any future revisions to NWP 12 by the Biden Administration is unclear at this time, we could face significant delays and financial costs if we must obtain individual permit coverage from USACE for our projects.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Spills. </w:t>
      </w:r>
      <w:r>
        <w:rPr>
          <w:rFonts w:ascii="Times New Roman" w:cs="Times New Roman" w:eastAsia="Times New Roman" w:hAnsi="Times New Roman"/>
          <w:sz w:val="18"/>
          <w:szCs w:val="18"/>
          <w:color w:val="auto"/>
        </w:rPr>
        <w:t>Our operations can result in the discharge of regulated substances, including NGLs, crude oil or other products. The Clean Water Act, as amended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 impact on navigable waters in the event of a release of oil. PHMSA, the EPA, or various state regulatory agencies, has approved our oil spill emergency response plans that are to be used in the event of a spill incident.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Endangered Species. </w:t>
      </w:r>
      <w:r>
        <w:rPr>
          <w:rFonts w:ascii="Times New Roman" w:cs="Times New Roman" w:eastAsia="Times New Roman" w:hAnsi="Times New Roman"/>
          <w:sz w:val="18"/>
          <w:szCs w:val="18"/>
          <w:color w:val="auto"/>
        </w:rPr>
        <w:t>The Endangered Species Act, as amended, restricts activities that may affect endangered or threatened species or their habitat.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operate could cause our customers to incur increased costs arising from species protection measures and could result in delays or limitations in our customers’ performance of operations, which could reduce demand for our services.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Climate change continues to attract considerable public, governmental and scientific attention. As a result, numerous proposals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removed natural gas transmission and storage operations from this sector and rescinded the methane-specific requirements of the rule for production and processing facilities. However, Congress passed, and President Biden signed into law, a revocation of the 2020 rulemaking, effectively reinstating the 2016 standards. Additionally, in November 2021, the EPA issued a proposed rule that, if finalized, would establish OOOOb new source and OOOOc first-time existing source standards of performance for GHG and VOC emissions for the crude oil and natural gas well sites, natural gas gathering and boosting compressor stations, natural gas processing plants, and transmission and storage facilities. Owners or operators of affected emission units or processes would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The EPA plans to issue a supplemental proposal enhancing this proposed rulemaking in 2022 that will contain proposed rule text, which was not included in the November 2021 proposed rule, and anticipates issuing a final rule by the end of 2022. GHG emission standards, including methane emissions imposed on the oil and gas sector, could result in increased costs to our operations as well as result in delays or curtailment in such operations, which costs, delays or curtailment could adversely affect our business. Several states have also adopted, or are considering adopting, regulations related to GHG emissions, some of which are more stringent than those implemented by the federal government.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emission reduction goals every five years beginning in 2020. Although the United States withdrew from the Paris Agreement under the Trump administration, President Biden recommitted the United States in February 2021, and, in April 2021, announced a new, more rigorous nationally determined emissions reduction level of 50-52% reduction from 2005 levels in economy-wide net GHG emissions by 2030. The international community gathered again in Glasgow in November 2021 at the 26th Conference to the Parties (“COP26”) during which multiple announcements were made, including a call for parties to eliminate fossil fuel subsidies, amongst other measures. Relatedly, the United States and European Union jointly announced at COP26 the launch of the Global Methane Pledge, an initiative committing to a collective goal of reducing global methane emissions by at least 30% from 2020 levels by 2030, including “all feasible reductions” in the energy sector.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President Biden’s January 2021 climate change executive order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 The executive order also directed the federal government to identify “fossil fuel subsidies” to take steps to ensure that, to the extent consistent with applicable law, federal funding is not directly subsidizing fossil fuels. As noted above, a separate executive order issued in January 2021 established a Working Group that is called on to, among other things, develop methodologies for calculating the “social cost of carbon,” “social cost of nitrous oxide” and “social cost of methane.” During 2021, the Working Group published interim estimates of the social costs of carbon, methane, and nitrous oxide and sought public comment on these estimates. The Working Group has not yet published its final recommendations.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Various investors are becoming increasingly concerned about the potential effects of climate change and may elect in the future to shift some or all of their investments into other sectors. Institutional lenders who provide financing for fossil fuel energy companies also have become more attentive to sustainable lending practices that favor “clean” power sources such as wind and solar photovoltaic, making those sources more attractive for investment, and some of them may elect not to provide funding for fossil fuel energy companies. 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Additionally, there is the possibility that financial institutions will be required to adopt policies that limit funding for fossil fuel energy companies. In late 2020, the Federal Reserve joined the Network for Greening the Financial System (“NGFS”), a consortium of financial regulators focused on addressing climate-related risks in the financial sector. More recently, in November 2021, the Federal Reserve issued a statement in support of the efforts of the NGFS to identify key issues and potential solutions for the climate-related challenges most relevant to central banks and supervisory authorities. Such efforts could make it more difficult to secure funding for exploration and production or midstream activities and could also increase the cost of obtaining financings and/or negatively affect terms of financings.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Finally, climatic events in the areas in which we operate, whether from climate change or otherwise, can cause disruptions and, in some cases, delays in, or suspension of, our services. These events, including but not limited to drought, winter storms, wildfire, extreme temperatures or flooding, may become more intense or more frequent as a result of climate change and could have an adverse effect on our continued operations. If such effects were to occur, our operations could be adversely affected in various ways, including damages to our facilities or our customers’ facilities from powerful winds or rising waters, or increased costs for, or difficulty obtaining,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need to decrease emissions and integrate alternative energy sources into our operations, and we actively pursue economically beneficial opportunities to reduce our environmental footprint throughout our operations. Protecting public health and the environment is the primary initiative of our environmental management teams, both in the construction and operation of our assets. These teams have worked to reduce our emissions and minimize our environmental impact. Some examples of our teams’ efforts include:</w:t>
      </w:r>
    </w:p>
    <w:p>
      <w:pPr>
        <w:spacing w:after="0" w:line="72" w:lineRule="exact"/>
        <w:rPr>
          <w:sz w:val="20"/>
          <w:szCs w:val="20"/>
          <w:color w:val="auto"/>
        </w:rPr>
      </w:pPr>
    </w:p>
    <w:p>
      <w:pPr>
        <w:ind w:left="340" w:hanging="332"/>
        <w:spacing w:after="0" w:line="282"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natural gas compression business, the use of our patented dual-drive technology, which offers the ability to switch compression drivers between an electric motor and a natural gas engine, allowed us to reduce our emissions of nitrogen oxide, carbon monoxide, CO2 and VOCs;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installation of approximately 12,000 low-emission pneumatic devices throughout our pipeline systems has allowed us to safely and efficiently adjust and control our operations and reduce methane emissions;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installation of thermal oxidizers, which destroy VOCs and convert methane to CO2 (a less carbon-intense GHG), thereby reducing VOC and methane emissions by 98 percent or more at many of our more than 50 natural gas processing and sweetening plants;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 innovative liquids management process throughout much of our natural gas gathering pipeline system has allowed us to minimize flash emissions and methane emissions;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optical gas imaging cameras at our more than 2,200 gas gathering and processing facilities as part of our leak detection and repair program allow us to reduce emissions, improve safety, reduce costs, prevent product loss, and maintain equipment integrity;</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in-line inspection tools, or smart pigs, allow us to detect corrosion, cracks or other defects along our pipeline systems thereby protecting the environment and the safety of our communities, employees and landowners;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other methods, including pipeline blowdown direct injection, liquids pipeline system optimization, crude oil truck unloading and direct injection, all of which help to reduce emissions and the release of methane into the atmosphere across our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Powering our assets through renewable energy sources is an established part of our operations where it is economically viable to do so. We have reduced our carbon footprint by using a diversified mix of energy sources, including solar and wind power to generate electrical power. The percentage of electrical energy we purchase on a given day originating from solar and wind sources is approaching 20 percent. Since 2019, we have entered into dedicated solar contracts to purchase 148 megawatts of solar power to support the operations of our assets. We also operate approximately 18,000 solar panel-powered metering stations across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we announced the formation of our alternative energy group. This group is tasked with increasing our efforts to support renewable energy projects such as solar and/or wind farms, either as a power purchaser, or in a partnership with third party developers, when they make economic sense. This group is also focused on developing alternative energy projects aimed at reducing the environmental footprint throughout our operations, including a variety of projects related to carbon capture, utilization and sequestration of CO2.</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environmental management initiatives have not materially impacted our capital expenditures or results of operations, we recognize that the non-financial impacts of these initiatives are of interest to our investors and other stakeholders. We voluntarily publish additional information on those initiatives; however, much of that separately published information is excluded from this annual report on Form 10-K if it is not material in the context of the consolidated Partnership and/or if it is not required by the instructions to Form 10-K. For additional information on our environmental management initiatives, including our efforts to curb GHG emissions and to integrate alternative energy sources, please see our Corporate Responsibility Report available on our website at http://www.energytransfer.com/corporate-responsibility. Information contained on our website is not part of this report.</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are subject to the requirements of the federal OSHA and comparable state laws that regulate the protection of the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Natural Resource Reviews. </w:t>
      </w:r>
      <w:r>
        <w:rPr>
          <w:rFonts w:ascii="Times New Roman" w:cs="Times New Roman" w:eastAsia="Times New Roman" w:hAnsi="Times New Roman"/>
          <w:sz w:val="18"/>
          <w:szCs w:val="18"/>
          <w:color w:val="auto"/>
        </w:rPr>
        <w:t>The National Environmental Policy Act (“NEPA”) provides for an environmental impact assessment process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projects that involve federal lands or require approvals by federal agencies. The NEPA process implicates a number of other environmental laws and regulations, including the Endangered Species Act, Migratory Bird Treaty Act, Rivers and Harbors Act, Clean Water Act, Bald and Golden Eagle Protection Act, Fish and Wildlife Coordination Act, Marine Mammal Protection Act and National Historic Preservation Act, often requiring coordination with numerous governmental authorities. The NEPA review process can be lengthy and subjective, resulting in delays in obtaining federal approvals for projects. Our projects that are subject to the NEPA can include pipeline construction and pipeline integrity projects that involve federal lands or require approvals by federal agencies. In July 2020, the Council on Environmental Quality (“CEQ”) issued final revisions to NEPA regulations that seek to conform the scope of direct, indirect, and cumulative impact analyses for proposed projects subject to NEPA with existing case law. However, in October 2021, the CEQ published a proposed rule to restore, in general, NEPA regulations that were in effect before being modified by the 2020 revisions. The final rule has not yet been published. More stringent environmental impact analyses under or third-party challenges with respect to the sufficiency of any environmental impact statement or assessment prepared pursuant to NEPA could adversely impact such projects in the form of delays or increased compliance and mitigations costs.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Indigenous Protections. </w:t>
      </w:r>
      <w:r>
        <w:rPr>
          <w:rFonts w:ascii="Times New Roman" w:cs="Times New Roman" w:eastAsia="Times New Roman" w:hAnsi="Times New Roman"/>
          <w:sz w:val="18"/>
          <w:szCs w:val="18"/>
          <w:color w:val="auto"/>
        </w:rPr>
        <w:t>Part of our operations cross land that has historically been apportioned to various Native American/First Nations tribes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(“Indigenous Peoples”), who may exercise significant jurisdiction and sovereignty over their lands. Indigenous Peoples may also have certain treaty rights and rights to consultation on projects that may affect such lands.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operations may be impacted to the extent these tribal governments are found to have and choose to act upon such jurisdiction over lands where we operate. For example, in 2020, the Supreme Court ruled in </w:t>
      </w:r>
      <w:r>
        <w:rPr>
          <w:rFonts w:ascii="Times New Roman" w:cs="Times New Roman" w:eastAsia="Times New Roman" w:hAnsi="Times New Roman"/>
          <w:sz w:val="18"/>
          <w:szCs w:val="18"/>
          <w:i w:val="1"/>
          <w:iCs w:val="1"/>
          <w:color w:val="auto"/>
        </w:rPr>
        <w:t>McGirt v. Oklahoma</w:t>
      </w:r>
      <w:r>
        <w:rPr>
          <w:rFonts w:ascii="Times New Roman" w:cs="Times New Roman" w:eastAsia="Times New Roman" w:hAnsi="Times New Roman"/>
          <w:sz w:val="18"/>
          <w:szCs w:val="18"/>
          <w:color w:val="auto"/>
        </w:rPr>
        <w:t xml:space="preserve"> that the Muscogee (Creek) Nation reservation in Eastern Oklahoma has not been disestablished. Although the court’s ruling indicates that it is limited to criminal law, as applied within the Muscogee (Creek) Nation reservation, the ruling may have significant potential implications for civil law, both in the Muscogee (Creek) Nation reservation and other reservations that may similarly be found to not have been disestablished. State courts in Oklahoma have applied the analysis in </w:t>
      </w:r>
      <w:r>
        <w:rPr>
          <w:rFonts w:ascii="Times New Roman" w:cs="Times New Roman" w:eastAsia="Times New Roman" w:hAnsi="Times New Roman"/>
          <w:sz w:val="18"/>
          <w:szCs w:val="18"/>
          <w:i w:val="1"/>
          <w:iCs w:val="1"/>
          <w:color w:val="auto"/>
        </w:rPr>
        <w:t>McGirt</w:t>
      </w:r>
      <w:r>
        <w:rPr>
          <w:rFonts w:ascii="Times New Roman" w:cs="Times New Roman" w:eastAsia="Times New Roman" w:hAnsi="Times New Roman"/>
          <w:sz w:val="18"/>
          <w:szCs w:val="18"/>
          <w:color w:val="auto"/>
        </w:rPr>
        <w:t xml:space="preserve"> in ruling that the Cherokee, Chickasaw, Seminole, and Choctaw reservations likewise had not been disestablished.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Indians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in </w:t>
      </w:r>
      <w:r>
        <w:rPr>
          <w:rFonts w:ascii="Times New Roman" w:cs="Times New Roman" w:eastAsia="Times New Roman" w:hAnsi="Times New Roman"/>
          <w:sz w:val="18"/>
          <w:szCs w:val="18"/>
          <w:i w:val="1"/>
          <w:iCs w:val="1"/>
          <w:color w:val="auto"/>
        </w:rPr>
        <w:t>McGirt</w:t>
      </w:r>
      <w:r>
        <w:rPr>
          <w:rFonts w:ascii="Times New Roman" w:cs="Times New Roman" w:eastAsia="Times New Roman" w:hAnsi="Times New Roman"/>
          <w:sz w:val="18"/>
          <w:szCs w:val="18"/>
          <w:color w:val="auto"/>
        </w:rPr>
        <w:t>. However, several Tribes expressed dissatisfaction with the consultation process performed in relation to this approval, and, in December 2021, the EPA proposed to withdraw and reconsider the October 2020 decision.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Energy Transfer and its consolidated subsidiaries employed an aggregate of 12,565 employees, 1,369 of which are represented by labor unions. We believe that our relations with our employees are good.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are our greatest asset, and we seek to attract and retain top talent by fostering a culture that is guided by our core values in a manner that respects all people and cultures, promotes safety, and focuses on the protection of public health and the environment.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Ethics and Values</w:t>
      </w:r>
      <w:r>
        <w:rPr>
          <w:rFonts w:ascii="Times New Roman" w:cs="Times New Roman" w:eastAsia="Times New Roman" w:hAnsi="Times New Roman"/>
          <w:sz w:val="18"/>
          <w:szCs w:val="18"/>
          <w:color w:val="auto"/>
        </w:rPr>
        <w:t>. We are committed to operating our business in a manner that honors and respects all people and the communities in which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We recognize that people are our most valued resource, and we are committed to hiring and investing in employees who strive for excellence and live by our core values: working safely, corporate stewardship, ethics and integrity, entrepreneurial mindset, our people, excellence and results, and social responsibility. We value our employees for what they bring to our organization by embracing those from all backgrounds, cultures, and experiences. We also believe that the keys to our successes have been the cultivation of an atmosphere of inclusion and respect within our family of partnerships and sustaining organizations that promote diversity and provide support across all communities. These are the principles upon which we build and strengthen relationships among our people, our stakeholders, and those within the communities we support.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Respecting All People and All Cultures</w:t>
      </w:r>
      <w:r>
        <w:rPr>
          <w:rFonts w:ascii="Times New Roman" w:cs="Times New Roman" w:eastAsia="Times New Roman" w:hAnsi="Times New Roman"/>
          <w:sz w:val="18"/>
          <w:szCs w:val="18"/>
          <w:color w:val="auto"/>
        </w:rPr>
        <w:t>. We believe strict adherence to our Code of Business Conduct and Ethics is not only right, but is in the best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Partnership, its Unitholders, its customers, and the industry in general. In all instances, the policies of the Partnership require that the business of the Partnership be conducted in a lawful and ethical manner. Every employee acting on behalf of the Partnership must adhere to these policies. Please refer to “Item 10. Directors, Executive Officers and Corporate Governance” for additional information on our Code of Business Conduct and Ethics.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Commitment to Protecting Public Health, Safety and the Environment</w:t>
      </w:r>
      <w:r>
        <w:rPr>
          <w:rFonts w:ascii="Times New Roman" w:cs="Times New Roman" w:eastAsia="Times New Roman" w:hAnsi="Times New Roman"/>
          <w:sz w:val="18"/>
          <w:szCs w:val="18"/>
          <w:color w:val="auto"/>
        </w:rPr>
        <w:t>. Protecting public health and the environment is the primary initiative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management teams, both in the construction and operation of our assets. These teams consist of environmental engineers, scientists and geologists focused on ensuring that our environmental management systems responsibly and efficiently reduce emissions, protect and preserve the land, water and air around us, and remain in compliance with all applicable regulations. Our environmental, health and safety department’s more than 200 environmental and safety professionals provide environmental and safety training to our field representatives. This group also assists others throughout the organization in identifying continuous training for personnel, including the training that is required by applicable laws, regulations, standards, and permit conditions. Our safety standards and expectations are communicated to all employees and contractors with the expectation that each individual has the obligation to make safety the highest priority. Our safety culture aims to promote an open environment for discovering, resolving, and sharing safety challenges. We strive to eliminate unwanted safety events through a comprehensive process that promotes leadership, employee involvement, communication, personal responsibility to comply with standard operating procedures and regulatory requirements, effective risk reduction processes, maintaining clean facilities, contractor safety, and personal wellness. Energy Transfer’s goal is operational excellence, which means an injury- and incident-free workplace. To achieve this, we strive to hire and maintain the most qualified and dedicated workforce in the industry and make safety and safety accountability part of our daily operations.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OSHA Total Reportable Incident Rate (“TRIR”) is a key performance indicator by which we evaluate the success of our safety programs. TRIR provides companies with a look at their safety record performance for the year by calculating the number of recordable incidents per 200,000 hours worked. Our TRIR was 1.01 for 2022, out of more than 18 million hours worked during the year, compared to a TRIR of 0.88 for 2021. We believe the Partnership’s low TRIR speaks to the investment in and focus on safety and environmental compliance as well as the reliability of our assets.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Human Capital Management initiatives, please see our Corporate Responsibility Report available on our website at http://www.energytransfer.com/corporate-responsibility. Information contained on our website is not part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or furnish annual reports on Form 10-K, quarterly reports on Form 10-Q, current reports on Form 8-K and any related amendments and supplements thereto with the SEC. From time to time, we may also file registration and related statements pertaining to equity or debt offerings. The SEC maintains an internet website at http://www.sec.gov that contains reports, proxy and information statements and other information regarding issuers that file electronically with the SEC.</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important risk factors that are specific to our business, industry and partnership structure that could materially impact our future performance and results of operations. These risk factors should be reviewed when considering an investment in our securities. These are not all the risks we face, and other factors that we face in the ordinary course of business, that are currently considered immaterial or that are currently unknown to us may impact our future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Partnership’s Business</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 Our results of operations and financial condition could be impacted by many risks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including the following:</w:t>
      </w:r>
    </w:p>
    <w:p>
      <w:pPr>
        <w:spacing w:after="0" w:line="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and price of natural gas, NGLs, crude oil and refined products;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and intangible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interruption of supply of crude oil to our facilities;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key producers or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replace existing customers or volumes due to declining demand or increased competition;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natural gas price spreads between two or more physical locations;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 over time, which we may not be able to replace with production from newly drilled wells;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water resources or limitations on water usage for hydraulic fracturing;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use our pipelines and third-party pipelines over which we have no control;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access or continue to access lands owned by third parties;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forward market for crude oil and other products we store;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disaster, catastrophe, terrorist attack or other similar event;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weather events that may be more severe or frequent than historically experienced and that may be attributable to changes in climate due to the adverse effects of an industrialized economy;</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 disputes and strikes or work stoppages by unionized employees;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other disruptions or failures of our information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or maintain adequate corporate governance;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and litigation, or increased insurance costs including as a result of increased risks due to the potential adverse effects of changes in climate;</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certain of our joint ventures that we do not control;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congestion in the Houston Ship Channel;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providing pension and other postretirement health care benefits and related funding requirements;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among customers and competitors;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or misuse of proprietary data involving our outsourcing partners;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the use of derivative financial instruments.</w:t>
      </w:r>
    </w:p>
    <w:p>
      <w:pPr>
        <w:spacing w:after="0" w:line="9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Our business, results of operations, cash flows and financial condition, as well as our ability to make distributions, could be impacted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2"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and debt agreements, or increases in interest rates;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and risk profile of our general partner and its owners;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of our credit ratings.</w:t>
      </w:r>
    </w:p>
    <w:p>
      <w:pPr>
        <w:spacing w:after="0" w:line="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Capital Projects and Future Growth</w:t>
      </w:r>
      <w:r>
        <w:rPr>
          <w:rFonts w:ascii="Times New Roman" w:cs="Times New Roman" w:eastAsia="Times New Roman" w:hAnsi="Times New Roman"/>
          <w:sz w:val="18"/>
          <w:szCs w:val="18"/>
          <w:color w:val="auto"/>
        </w:rPr>
        <w:t>. Our business, results of operations, cash flows, financial condition, and future growth could be impacted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acquisitions on economically acceptable terms, or to successfully integrate acquired assets;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debt and equity financing for capital projects on acceptable terms, including as a result of recent increases in cost of capital resulting from changes in monetary policy by the Federal Reserve and/or changes in financial institutions’ policies or practices concerning businesses linked to fossil fuels;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costs or reduced demand for crude oil and natural gas as a result of the Inflation Reduction Act of 2022 (“IRA 2022”) or otherwise;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construct new pipelines or to do so efficiently;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growth strategy due to increased competition within any of our core businesses;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qualified employees;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liquefaction project to secure long-term contractual arrangements or necessary approvals.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Our business, results of operations, cash flows, financial condition, and future growth could be impacted by the following:</w:t>
      </w:r>
    </w:p>
    <w:p>
      <w:pPr>
        <w:spacing w:after="0" w:line="65"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hydraulic fracturing or produced water disposal;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actions related to the Dakota Access Pipeline;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policies governing the rates, terms and conditions of our services;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recover the full amount of increases in the costs of our pipeline operations;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 on assets not previously subject to regulation;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resulting from performance of pipeline integrity programs and related repairs;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more stringent pipeline safety controls or enforcement of legal requirements;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associated with environmental and worker health and safety laws and regulations;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or regulations restricting emissions of greenhouse gases, limiting oil and gas leases on federal lands, discouraging oil and gas development or otherwise increasing our or our customers’ costs;</w:t>
      </w: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attention to environmental, social, and governance (“ESG”) matters and conservation measures;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provisions of the Dodd-Frank Act and the rules adopted thereunder;</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deepwater drilling laws and regulations, delays in the processing and approval of drilling permits and exploration, development, oil spill-response and decommissioning plans, and related developments; and</w:t>
      </w: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specifications of products that we store and transport.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Partnership Structure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r>
        <w:rPr>
          <w:rFonts w:ascii="Times New Roman" w:cs="Times New Roman" w:eastAsia="Times New Roman" w:hAnsi="Times New Roman"/>
          <w:sz w:val="18"/>
          <w:szCs w:val="18"/>
          <w:color w:val="auto"/>
        </w:rPr>
        <w:t>. Our cash distributions could be impacted by the following:</w:t>
      </w:r>
    </w:p>
    <w:p>
      <w:pPr>
        <w:spacing w:after="0" w:line="65" w:lineRule="exact"/>
        <w:rPr>
          <w:sz w:val="20"/>
          <w:szCs w:val="20"/>
          <w:color w:val="auto"/>
        </w:rPr>
      </w:pPr>
    </w:p>
    <w:p>
      <w:pPr>
        <w:ind w:left="340" w:hanging="332"/>
        <w:spacing w:after="0" w:line="26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partner’s absolute discretion in issuing an unlimited number of limited partner interests or other classes of equity without the consent of our Unitholders;</w:t>
      </w: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are not guaranteed and may fluctuate with our performance and other external factors;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available cash that are imposed by our distribution policy;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partner’s absolute discretion in determining the level of cash reserves;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potential liability to repay distributions.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r>
        <w:rPr>
          <w:rFonts w:ascii="Times New Roman" w:cs="Times New Roman" w:eastAsia="Times New Roman" w:hAnsi="Times New Roman"/>
          <w:sz w:val="18"/>
          <w:szCs w:val="18"/>
          <w:color w:val="auto"/>
        </w:rPr>
        <w:t>. Our stakeholders could be impacted by risks related to our general partner, including:</w:t>
      </w:r>
    </w:p>
    <w:p>
      <w:pPr>
        <w:spacing w:after="0" w:line="6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control of our general partner to a third party without unitholder consent;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majority owner of our general partner that protect him against dilution;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 reimbursements due to our general partner.</w:t>
      </w:r>
    </w:p>
    <w:p>
      <w:pPr>
        <w:spacing w:after="0" w:line="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Our Subsidiaries</w:t>
      </w:r>
      <w:r>
        <w:rPr>
          <w:rFonts w:ascii="Times New Roman" w:cs="Times New Roman" w:eastAsia="Times New Roman" w:hAnsi="Times New Roman"/>
          <w:sz w:val="18"/>
          <w:szCs w:val="18"/>
          <w:color w:val="auto"/>
        </w:rPr>
        <w:t>. Risks that are unique to our subsidiaries and/or our relationship to our subsidiaries could reduce our subsidiaries’ cash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to us, including:</w:t>
      </w:r>
    </w:p>
    <w:p>
      <w:pPr>
        <w:spacing w:after="0" w:line="2"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additional common units by Sunoco LP or USAC;</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demand for or the price of motor fuel in the areas Sunoco LP serves;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Sunoco LP’s operations due to dangers inherent in motor fuel transportation;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industry trends, which may cause Sunoco LP’s operating costs to fluctuate;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for Sunoco LP resulting from negative events or developments;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retain necessary land use, which could disrupt Sunoco LP’s operations;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and regulations that govern the industries in which our subsidiaries operate.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Conflicts of Interest</w:t>
      </w:r>
      <w:r>
        <w:rPr>
          <w:rFonts w:ascii="Times New Roman" w:cs="Times New Roman" w:eastAsia="Times New Roman" w:hAnsi="Times New Roman"/>
          <w:sz w:val="18"/>
          <w:szCs w:val="18"/>
          <w:color w:val="auto"/>
        </w:rPr>
        <w:t>. Our stakeholders could be impacted by conflicts of interest, including:</w:t>
      </w:r>
    </w:p>
    <w:p>
      <w:pPr>
        <w:spacing w:after="0" w:line="63"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favor its own interests to the detriment of our Unitholders;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duties owed to Sunoco LP, USAC and their respective unitholders by their general partners;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faced by directors and officers in managing our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Risks</w:t>
      </w:r>
      <w:r>
        <w:rPr>
          <w:rFonts w:ascii="Times New Roman" w:cs="Times New Roman" w:eastAsia="Times New Roman" w:hAnsi="Times New Roman"/>
          <w:sz w:val="18"/>
          <w:szCs w:val="18"/>
          <w:color w:val="auto"/>
        </w:rPr>
        <w:t>. Our stakeholders could be impacted by tax risks, including:</w:t>
      </w:r>
    </w:p>
    <w:p>
      <w:pPr>
        <w:spacing w:after="0" w:line="63" w:lineRule="exact"/>
        <w:rPr>
          <w:sz w:val="20"/>
          <w:szCs w:val="20"/>
          <w:color w:val="auto"/>
        </w:rPr>
      </w:pPr>
    </w:p>
    <w:p>
      <w:pPr>
        <w:ind w:left="340" w:right="20" w:hanging="332"/>
        <w:spacing w:after="0" w:line="261"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tax treatment depends on our status as a partnership for federal income tax purposes, and not being subject to a material amount of entity-level taxation;</w:t>
      </w:r>
    </w:p>
    <w:p>
      <w:pPr>
        <w:jc w:val="both"/>
        <w:ind w:left="34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available for distribution to Unitholders may be substantially reduced if we become subject to entity-level taxation as a result of the IRS treating us as a corporation or legislative, judicial or administrative changes, and may also be reduced by any audit adjustments if imposed directly on the partnership;</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Unitholders do not receive any cash distributions from us, Unitholders will be required to pay taxes on their share of our taxable income;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Unitholder’s share of our taxable income may be increased as a result of the IRS successfully contesting any of the federal income tax positions we take; and</w:t>
      </w:r>
    </w:p>
    <w:p>
      <w:pPr>
        <w:ind w:left="340" w:hanging="332"/>
        <w:spacing w:after="0" w:line="26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distributions on Energy Transfer Preferred Units as guaranteed payments for the use of capital is uncertain and such distributions may not be eligible for the 20% deduction for qualified publicly traded partnership income.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Discussion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additional information regarding each of our risk factors listed above. In addition, Sunoco LP and USAC file Annual Reports on Form 10-K that include risk factors that can be reviewed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Relating to the Partnership’s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and Financial Condition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cash flow depends primarily on the cash distributions we receive from our subsidiaries, as well as our partnership interests in Sunoco LP and USAC, including the incentive distribution rights in Sunoco LP and, therefore, our cash flow is dependent upon the ability of our subsidiaries, Sunoco LP and USAC to make distributions in respect of those partnership interests.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significant assets other than our interests in our subsidiaries. As a result, our cash flow depends on the performance of our subsidiaries, including Sunoco LP and USAC, and their ability to make cash distributions, which is dependent on the results of operations, cash flows and financial condition of our subsidiaries, including Sunoco LP and USAC.</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that our subsidiaries distribute to us each quarter depends upon the amount of cash generated from our subsidiaries’ operations, which will fluctuate from quarter to quarter and will depend upon, among other things:</w:t>
      </w:r>
    </w:p>
    <w:p>
      <w:pPr>
        <w:spacing w:after="0" w:line="54"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natural gas, NGLs, crude oil and refined products transported through our subsidiaries’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processing and treating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charged and the margins realized by our subsidiaries, including Sunoco LP and USAC, for their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natural gas, NGLs, crude oil and refined products;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natural gas, NGL and crude oil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in their respective operating areas;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other midstream, transportation and storage and retail marketing companies and other energy providers;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their respective operating costs and maintenance and integrity capital expenditures;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profile on any blocker entities treated as corporations for federal income tax purposes that are owned by any of our subsidiaries;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results of their respective derivative activities.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actual amount of cash that our subsidiaries, including Sunoco LP and USAC, will have available for distribution will also depend on other factors, such as:</w:t>
      </w:r>
    </w:p>
    <w:p>
      <w:pPr>
        <w:spacing w:after="0" w:line="54"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they make;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costs related to litigation and regulatory compliance matters;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any margin calls that result from changes in commodity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needs;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borrow under their respective revolving credit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access capital markets;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their respective debt agreements;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of cash reserves established by the board of directors and their respective general partners in their discretion for the proper conduct of their respective businesses.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Energy Transfer does not have any control over many of these factors, including the level of cash reserves established by the board of directors. Accordingly, we cannot guarantee that our subsidiaries, including Sunoco LP and USAC, will have sufficient available cash to pay a specific level of cash distributions to their respective partners.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Unitholders should be aware that the amount of cash that our subsidiaries have available for distribution depends primarily upon cash flow and is not solely a function of profitability, which is affected by non-cash items. As a result, our subsidiaries may declare and/or pay cash distributions during periods when they record net losses.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Income from our midstream, transportation, terminalling and storage operations is exposed to risks due to fluctuations in the demand for and price of natural gas, NGLs, crude oil and refined products that are beyond our control.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prices for natural gas, NGLs, crude oil and refined products reflect market demand that fluctuates with changes in global and United States economic conditions and other factors, including:</w:t>
      </w:r>
    </w:p>
    <w:p>
      <w:pPr>
        <w:spacing w:after="0" w:line="54"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natural gas, NGL, refined products and oil production;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natural gas, NGL, refined products and oil imports and exports, including liquefied natural gas;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natural gas and oil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or other events affecting natural gas and oil producing nations;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geopolitical events such as the armed conflict in Ukraine and political instability in the Middle East, public health crises such as pandemics (including COVID-19), and other events of nature on the demand for natural gas, NGLs, refined products and oil;</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storage, terminal and transportation systems, and refining, processing and treating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availability and marketing of competitive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inflation;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electricity;</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by non-governmental organizations to limit certain sources of funding for the energy sector or restrict the exploration, development and production of oil and natural gas and related products;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and slowing economic growth;</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capital needed to maintain or increase production levels and to construct and expand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and fuel efficiency efforts;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governmental regulations, taxation, fees and duties.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past, the prices of natural gas, NGLs, refined products and oil have been extremely volatile, and we expect this volatility to continue.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loss of business from existing customers or our inability to attract new customers due to a decline in demand for natural gas, NGLs, refined products or oil could have a material adverse effect on our revenues and results of operations. In addition, significant price fluctuations for natural gas, NGL, refined products and oil commodities could materially affect our profitability.</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could be negatively impacted by inflationary pressures which may decrease our operating margins and increase working capital investments required to operate our business.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economy has experienced rising inflation in 2022. A sustained increase in inflation may continue to increase our costs for labor, services, and materials. Further, our producer suppliers and customers face inflationary pressures and resulting impacts, such as the tight labor market, availability of drilling and hydraulic fracturing equipment, and supply chain disruptions, which could increase the cost of production which in turn may limit the level of drilling activity in the regions in which we operate. Our throughput volumes may be impacted if producers are constrained. The rate and scope of these various inflationary factors may increase our operating costs and capital expenditures materially, which may not be readily recoverable in the prices of our services and may have an adverse effect on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impairment of goodwill and intangible assets could reduce our earnings.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our consolidated balance sheet reflected $2.6 billion of goodwill and $5.4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If we determine that any of our goodwill or intangible assets were impaired,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would be required to take an immediate charge to earnings with a correlative effect on partners’ capital and balance sheet leverage as measured by debt to total capitalization.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certain key producers for our supply of natural gas and the loss of any of these key producers could adversely affect our financial results.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producers who are connected to our systems represent a material source of our supply of natural gas. We are not the only option available to these producers for disposition of the natural gas they produce. To the extent that these and other producers may reduce the volumes of natural gas that they supply us, we would be adversely affected unless we were able to acquire comparable supplies of natural gas from other producers.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intrastate transportation and storage and interstate transportation and storage operations depend on key customers to transport natural gas through our pipelines and the pipelines of our joint ventures.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two customers accounted for approximately 42% of our intrastate transportation and storage revenues. During 2022, four customers collectively accounted for 39% of our interstate transportation and storage revenues.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joint ventures also depend on key customers. Citrus has long-term agreements with its top two customers which accounted for 52% of its 2022 revenue. For the Trans-Pecos and Comanche Trail pipelines, a single customer is the primary shipper.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the major shippers on our and our joint ventures’ intrastate and interstate transportation and storage pipelines to fulfill their contractual obligations could have a material adverse effect on our cash flow and results of operations if we or our joint ventures were unable to replace these customers under arrangements that provide similar economic benefits as these existing contracts.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retain or replace existing midstream, transportation, terminalling and storage customers or volumes due to declining demand or increased competition in crude oil, refined products, natural gas and NGL markets, which would reduce our revenues and limit our future profitability.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retention or replacement of existing customers and the volume of services that we provide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receive a substantial portion of our revenues by providing natural gas gathering, processing, treating, transportation and storage services. While a substantial portion of our services are sold under long-term contracts for reserved service, we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our NGL transportation systems and refined products storage is also exposed to risks due to fluctuations in demand for transportation and storage service as a result of unfavorable commodity prices, competition from nearby pipelines, and other factors. We receive substantially all of our transportation revenues through dedicated contracts under which the customer agrees to deliver the total output from particular processing plants that are connected only to our transportation system. Reduction in demand for natural gas or NGLs due to unfavorable prices or other factors, however, may result lower rates of production under dedicated contracts and lower demand for our services. In addition, our refined products storage revenues are primarily derived from fixed capacity arrangements between us and our customers, a portion of our revenue is derived from fungible storage and throughput arrangements, under which our revenue is more dependent upon demand for storage from our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volume of crude oil and refined products transported through our crude oil and refined products pipelines and terminal facilities depends on the availability of attractively priced crude oil and refined products in the areas serviced by our assets.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of existing customers by our midstream, transportation, terminalling and storage facilities or a reduction in the volume of the services our customers purchase from us, or our inability to attract new customers and service volumes would negatively affect our revenues, be detrimental to our growth, and adversely affect our results of operations.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and our subsidiaries, including Sunoco LP and USAC, are exposed to the credit risk of our customers and derivative counterparties, and an increase in the nonpayment and nonperformance by our customers or derivative counterparties could reduce our ability to make distributions to our Unitholders.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Sunoco LP and USAC are subject to risks of loss resulting from nonpayment or nonperformance by our, Sunoco LP’s and USAC’s customers. Commodity price volatility and/or the tightening of credit in the financial markets may make it more difficult for customers to obtain financing and, depending on the degree to which this occurs, there may be a material increase in the nonpayment and nonperformance by our customers.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our customers could have a material effect on our, Sunoco LP’s and USAC’s results of operations and operating cash flows.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Severe market disruptions could cause some of our counterparties to file for bankruptcy protection, in which case our existing contracts with those counterparties may be rejected by the bankruptcy court. Following the request of one of our FERC-regulated natural gas pipelines, the FERC commenced a proceeding to determine whether the public interest requires abrogation or modification of a firm transportation agreement with one of our shippers. By order dated November 9, 2020, FERC held that the record did not support a finding that the public interest presently required abrogation or modification of the subject firm transportation agreement. The shipper subsequently filed for bankruptcy. Thereafter, on July 19, 2022, the Fifth Circuit Court of Appeals rejected FERC’s jurisdictional basis for its earlier public interest decision, vacated the November 9, 2020 order and a settlement has been reached regarding the agreement in the underlying bankruptcy proceeding. We will attempt to remarket the subject capacity and, depending on the availability of alternatives to our services, any resulting contracts may have terms that are less favorable to us than the former shipper’s contract.</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profitability of certain activities in our natural gas gathering, processing, transportation and storage operations are largely dependent upon natural gas commodity prices, price spreads between two or more physical locations and market demand for natural gas and NGLs.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portion of the natural gas gathered on our systems, we purchase natural gas from producers at the wellhead and then gather and deliver the natural gas to pipelines where we typically resell the natural gas under various arrangements, including sales at index prices. Generally, the gross margins we realize under these arrangements decrease in periods of low natural gas prices.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enter into percent-of-proceeds arrangements, keep-whole arrangements, and processing fee agreements pursuant to which we agree to gather and process natural gas received from the producers.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percent-of-proceeds arrangements, we generally sell the residue gas and NGLs at market prices and remit to the producers an agreed upon percentage of the proceeds based on an index price. In other cases, instead of remitting cash payments to the producer, we deliver an agreed upon percentage of the residue gas and NGL volumes to the producer and sell the volumes we keep to third parties at market prices. Under these arrangements, our revenues and gross margins decline when natural gas prices and NGL prices decrease. Accordingly, a decrease in the price of natural gas or NGLs could have an adverse effect on our revenues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keep-whole arrangements, we generally sell the NGLs produced from our gathering and processing operations at market prices. Because the extraction of the NGLs from the natural gas during processing reduces the Btu content of the natural gas, we must either purchase natural gas at market prices for return to producers or make a cash payment to producers equal to the value of this natural gas. Under these arrangements, our gross margins generally decrease when the price of natural gas increases relative to the price of NGLs.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process the gas for a fee under processing fee agreements, we may guarantee recoveries to the producer. If recoveries are less than those guaranteed to the producer, we may suffer a loss by having to supply liquids or its cash equivalent to keep the producer whole.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receive fees and retain gas in kind from our natural gas transportation and storage customers. Our fuel retention fees and the value of gas that we retain in kind are directly affected by changes in natural gas prices. Decreases in natural gas prices tend to decrease our fuel retention fees and the value of retained gas.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receive revenue from our off-gas processing and fractionating system in south Louisiana primarily through customer agreements that are a combination of keep-whole and percent-of-proceeds arrangements, as well as from transportation and fractionation fees. Consequently, a large portion of our off-gas processing and fractionation revenue is exposed to risks due to fluctuations in commodity prices. In addition, a decline in NGL prices could cause a decrease in demand for our off-gas processing and fractionation services and could have an adverse effect on our results of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midstream segment, we generally analyze gross margin based on fee-based margin (which includes revenues from processing fee arrangements) and non-fee-based margin (which includes gross margin earned on percent-of-proceeds and keep-whole arrangements). The amount of segment margin earned by our midstream segment from fee-based and non-fee-based arrangements (individually and as a percentage of total revenues) will be impacted by the volumes associated with both types of arrangements, as well as commodity prices; therefore, the dollar amounts and the relative magnitude of gross margin from fee-based and non-fee-based arrangements in future periods may be significantly different from results reported in previous periods.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midstream facilities and transportation pipelines provide services related to natural gas wells that experience production declines over time, which we may not be able to replace with natural gas production from newly drilled wells in the same natural gas basins or in other new natural gas producing areas.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maintain or increase throughput levels on our gathering systems and transportation pipeline systems and asset utilization rates at our treating and processing plants, we must continually contract for new natural gas supplies and natural gas transportation services.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substantial portion of our assets, including our gathering systems and our processing and treating plants, are connected to natural gas reserves and wells that experience declining production over time. Our gas transportation pipelines are also dependent upon natural gas production in areas served by our gathering systems or in areas served by other gathering systems or transportation pipelines that connect with our transportation pipelines. We may not be able to obtain additional contracts for natural gas supplies for our natural gas gathering systems, and we may be unable to maintain or increase the levels of natural gas throughput on our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our transportation pipelines or markets to which our systems connect. We have no control over the level of drilling activity in our areas of operation, the amount of reserves underlying the wells and the rate at which production from a well will decline. In addition, we have no control over producers or their production and contracting decisions.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a substantial portion of our services are provided under long-term contracts for reserved service, we also provide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we provide and a decrease in the number and volume of our contracts for reserved transportation service over the long run, which in each case would adversely affect our revenues and results of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replace any significant volume declines with additional volumes from other sources, our results of operations and cash flows could be materially and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revenues depend on our customers’ ability to use our pipelines and third-party pipelines over which we have no control.</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transportation, storage and NGL businesses depend, in part, on our customers’ ability to obtain access to pipelines to deliver gas to us and receive gas from us.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our ability, and the ability of our customers, to transport natural gas to and from our pipelines and facilities and a corresponding material adverse effect on our transportation and storage revenues. In addition, the rates charged by interconnected pipelines for transportation to and from our facilities affect the utilization and value of our storage services. Significant changes in the rates charged by those pipelines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rates charged by other pipelines with which the interconnected pipelines compete could also have a material adverse effect on our storage revenues.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Shippers using our oil pipelines and terminals are also dependent upon our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our pipelines or through our terminals. Similarly, if additional shippers begin transporting volume over interconnecting oil pipelines, the allocations of pipeline capacity to our existing shippers on these interconnecting pipelines could be reduced, which also could reduce volumes transported in its pipelines or through our terminals. Allocation reductions of this nature are not infrequent and are beyond our control. Any such interruptions or allocation reductions that, individually or in the aggregate, are material or continue for a sustained period of time could have a material adverse effect on our results of operations, financial position, or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inability to continue to access lands owned by third parties could adversely affect our ability to operate and our financial results.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our pipeline systems on certain lands owned by third parties will depend on our success in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For more information, see our regulatory disclosure titled “Indigenous Protections.”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existing rights-of-way upon the expiration of the current grants, that all of the rights-of-way will be obtained in a timely fashion or that we will acquire new rights-of-way as needed.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whether we have the power of eminent domain for our pipelines varies from state to state, depending upon the type of pipeline and the laws of the particular state and the ownership of the land to which we seek access. When we exercise eminent down rights or negotiate private agreements cases,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 For example, following a decision issued in May 2017 by the federal Tenth Circuit Court of Appeals,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impediment for pipeline operators. Any loss of rights with respect to our real property, through our inability to renew right-of-way contracts or otherwise, could have a material adverse effect on our business, results of operations, financial condition and ability to make cash distributions to Unitholders.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storage operations are influenced by the overall forward market for crude oil and other products we store, and certain market conditions may adversely affect our financial and operating results.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storage operations are influenced by the overall forward market for crude oil and other products we store. A contango market (meaning that the price of crude oil or other products for future delivery is higher than the current price) is associated with greater demand for storage capacity, because a party can simultaneously purchase crude oil or other products at current prices for storage and sell at higher prices for future delivery. A backwardated market (meaning that the price of crude oil or other products for future delivery is lower than the current price) is associated with lower demand for storage capacity because a party can capture a premium for prompt delivery of crude oil or other products rather than storing it for future sale. A prolonged backwardated market, or other adverse market conditions, could have an adverse impact on its ability to negotiate favorable prices under new or renewing storage contracts, which could have an adverse impact on our storage revenues. As a result, the overall forward market for crude oil or other products may have an adverse effect on our financial condition or results of operations.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Competition for water resources or limitations on water usage for hydraulic fracturing could disrupt crude oil and natural gas production from shale formations.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natural disaster, catastrophe or other event could result in severe personal injury, property damage and environmental damage, which could curtail our operations and otherwise materially adversely affect our cash flow.</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which could curtail our operations and otherwise materially adversely affect our cash flow. For example, natural gas pipeline and other facilities operate at high pressures. Virtually all of our operations are exposed to potential natural disasters, including hurricanes, tornadoes, storms, floods and/or earthquakes.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facilities that are owned by us, or that deliver natural gas or other products to us, are damaged by severe weather or any other disaster, accident, catastrophe or event, our operations could be significantly interrupted. Similar interruptions could result from damage to production or other facilities that supply our facilities or other stoppages arising from factors beyond our control. These interruptions might involve significant damage to people, property or the environment, and repairs might take from a week or less for a minor incident to six months or more for a major interruption. Any event that interrupts the revenues generated by our operations, or which causes us to make significant expenditures not covered by insurance, could reduce our cash available for paying distributions to Unitholders.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market conditions, premiums and deductibles for certain insurance policies can increase substantially, and in some instances, certain insurance may become unavailable or available only for reduced amounts of coverage. As a result, we may not be able to renew existing insurance policies or procure other desirable insurance on commercially reasonable terms, if at all. If we were to incur a significant liability for which we were not fully insured, it could have a material adverse effect on our financial position and results of operations. In addition, the proceeds of any such insurance may not be paid in a timely manner and may be insufficient if such an event were to occur.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Terrorist attacks aimed at our facilities could adversely affect our business, results of operations, cash flows and financial condition.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government has issued warnings that energy assets, including our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our facilities or pipelines, those of our customers, or in some cases, those of other pipelines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affected adversely by union disputes and strikes or work stoppages by unionized employees.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2022, approximately 11% of our workforce is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Cybersecurity attacks, data breaches and other disruptions affecting us, or our service providers, could materially and adversely affect our business, operations, reputation, and financial results.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security and integrity of our information technology infrastructure and physical assets are critical to our business and our ability to perform day-to-day operations and deliver services. In addition, in the ordinary course of our business, we collect, process, transmit and store sensitive data, including intellectual property, our proprietary business information and that of our customers, suppliers and business partners, as well as personally identifiable information, in our data centers and on our networks. We also engage third parties, such as service providers and vendors, who provide a broad array of software, technologies, tools, and other products, services and functions (e.g., human resources, finance, data transmission, communications, risk, compliance, among others) that enable us to conduct, monitor and/or protect our business, operations, systems and data assets.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technology and infrastructure, physical assets and data, may be vulnerable to unauthorized access, computer viruses, malicious attacks and other events (e.g., distributed denial of service attacks, ransomware attacks) that are beyond our control. These events can result from malfeasance by external parties, such as hackers, or due to human error by our or our service providers’ employees and contractors (e.g., due to social engineering or phishing attacks). In addition, a new development similar to the COVID-19 pandemic could present additional operational and cybersecurity risks to our information technology infrastructure and physical assets if our providers begin or resume work-from-home arrangements.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certain of our service providers have, from time to time, been subject to cyberattacks and security incidents. The frequency and magnitude of cyberattacks is expected to increase and attackers are becoming more sophisticated. We may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Breaches of our information technology infrastructure or physical assets, or other disruptions, could result in damage to our assets, safety incidents, damage to the environment, potential liability or the loss of contracts, and have a material adverse effect on our operations, financial position and results of operations. A successful cyberattack or other security incident could compromise our networks and the information stored there could be accessed, publicly disclosed, lost or stolen. Any such access, disclosure or loss could result in legal claims or proceedings, regulatory investigations and enforcement, penalties and fines, increased costs for system remediation and compliance requirements, disruption of our operations, damage to our reputation, or loss of confidence in our products and services, any or all of which could have a material adverse effect on our business and results. We may be required to invest significant additional resources to comply with evolving cybersecurity regulations and to modify and enhance our information security and controls, and to investigate and remediate any security vulnerabilities. Any losses, costs or liabilities may not be covered by, or may exceed the coverage limits of, any or all of our applicable insurance policies.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could be disrupted if our information systems fail, causing increased expenses and loss of sales.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claims and litigation could adversely affect our business and results of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Along with other refiners, manufacturers and sellers of gasoline, ETC Sunoco is a defendant in numerous lawsuits that allege 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ETC Sunoco. An adverse determination of liability related to these allegations or other product liability claims against ETC Sunoco could have a material adverse effect on our business or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control, and therefore may not be able to cause or prevent certain actions by, certain of our joint ventures.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operations are conducted through joint ventures, some of which have their own governing boards. With respect to our joint ventures, we share ownership and management responsibilities with partners that may not share our goals and objectives. Consequently, it may be difficult or impossible for us to cause the joint venture entity to take actions that we believe would be in their or the joint venture’s best interests. Likewise, we may be unable to prevent actions of the joint venture. Differences in views among joint venture partners may result in delayed decisions or failures to agree on major matters, such as large expenditures or contractual commitments, the construction or acquisition of assets or borrowing money, among others. Delay or failure to agree may prevent action with respect to such matters, even though such action may serve our best interest or that of the joint venture. Accordingly, delayed decisions and disagreements could adversely affect the business and operations of the joint ventures and, in turn, our business and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use of derivative financial instruments could result in material financial losses by us.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and/or our subsidiaries have sought to reduce our exposure to fluctuations in commodity prices and interest rates by using derivative financial instruments and other risk management mechanisms and by our trading, marketing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and/or system optimization activities. To the extent that we hedge our commodity price and interest rate exposures, we forgo the benefits we would otherwise experience if commodity prices or interest rates were to change in our favor.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 exposure to commodity prices. Our consolidated financial statements may reflect a gain or loss arising from an exposure to commodity prices for which we are unable to enter into a completely effective hedge.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levels of congestion in the Houston Ship Channel could result in a diversion of business to less busy ports.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Gulf Coast facilities are strategically situated on prime real estate located in the Houston Ship Channel, which is in close proximity to both supply sources and demand sources. In recent years, the success of the Port of Houston has led to an increase in vessel traffic driven in part by the growing overseas demand for U.S. crude, gasoline, liquefied natural gas and petrochemicals and in part by the Port of Houston’s recent decision to accept large container vessels, which can restrict the flow of other cargo. Increasing congestion in the Port of Houston, which is currently the busiest port in the U.S. by waterborne tonnage and which has increased volumes in each of the last two years, could cause our customers or potential customers to divert their business to smaller ports in the Gulf of Mexico, which could result in lower utilization of our facilities.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Fraudulent activity or misuse of proprietary data involving our outsourcing partners could expose us to additional liability.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both affiliated entities and third parties in the processing of our information and data. Breaches of security measures or the accidental loss, inadvertent disclosure or unapproved dissemination of proprietary information, or sensitive or confidential data about us or our customers, including the potential loss or disclosure of such information or data as a result of fraud or other forms of deception, could expose us to a risk of loss, or misuse of this information, result in litigation and potential liability, lead to reputational damage, increase our compliance costs, or otherwise harm our business.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212529"/>
        </w:rPr>
        <w:t>Our trucking fleet operations are subject to the Federal Motor Carrier Safety Regulations which are enacted, reviewed and amended by the Federal Motor Carrier Safety Administration (“FMCSA”). Our fleet currently has a “satisfactory” safety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rating; however, if our safety rating were downgraded to “unsatisfactory,” our business and results of operations could be adversely affected.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revocation of its operating authority by the FMCSA could have an adverse effect on our business, results of operations and financial condition</w:t>
      </w:r>
      <w:r>
        <w:rPr>
          <w:rFonts w:ascii="Times New Roman" w:cs="Times New Roman" w:eastAsia="Times New Roman" w:hAnsi="Times New Roman"/>
          <w:sz w:val="21"/>
          <w:szCs w:val="21"/>
          <w:color w:val="212529"/>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level and debt agreements may limit our ability to make distributions to Unitholders and may limit our future financial and operating flexibility.</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$48.26 billion of consolidated debt, excluding the debt of our unconsolidated joint ventures. Our level of indebtedness affects our operations in several ways, including, among other things:</w:t>
      </w:r>
    </w:p>
    <w:p>
      <w:pPr>
        <w:spacing w:after="0" w:line="54" w:lineRule="exact"/>
        <w:rPr>
          <w:sz w:val="20"/>
          <w:szCs w:val="20"/>
          <w:color w:val="auto"/>
        </w:rPr>
      </w:pPr>
    </w:p>
    <w:p>
      <w:pPr>
        <w:ind w:left="340" w:right="2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relative to similar companies that have less debt;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adverse economic and industry conditions as a result of our significant debt level; and</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312" w:lineRule="auto"/>
        <w:tabs>
          <w:tab w:leader="none" w:pos="3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debt level and debt agreements of our subsidiaries, including Sunoco LP and USAC, may limit the distributions we receive from these subsidiaries, as well as our future financial and operating flexibility.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subsidiaries’ levels of indebtedness affect their operations in several ways, including, among other things:</w:t>
      </w:r>
    </w:p>
    <w:p>
      <w:pPr>
        <w:spacing w:after="0" w:line="117" w:lineRule="exact"/>
        <w:rPr>
          <w:sz w:val="20"/>
          <w:szCs w:val="20"/>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subsidiaries’ cash flows from operations will be dedicated to the payment of principal and interest on outstanding debt and will not be available for other purposes, including payment of distributions to us;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subsidiaries’ existing debt agreements require the respective subsidiaries, as applicable, to meet financial tests that may adversely affect their flexibility in planning for and reacting to changes in their respective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obtain additional financing for working capital, capital expenditures, acquisitions and general partnership, corporate or limited liability company purposes, as applicable, may be limited;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may be at a competitive disadvantage relative to similar companies that have less debt;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may be more vulnerable to adverse economic and industry conditions as a result of their debt levels;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subsidiaries to comply with the various restrictive covenants of the respective debt agreements could negatively impact the respective subsidiaries’ ability to incur additional debt, including their ability to utilize the available capacity under their revolving credit facilities, and to pay distributions to us and their unitholders.</w:t>
      </w:r>
    </w:p>
    <w:p>
      <w:pPr>
        <w:spacing w:after="0" w:line="1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do not have the same flexibility as other types of organizations to accumulate cash, which may limit cash available to service our debt or to repay debt at maturity.</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(as defined in our Partnership Agreement) to our Unitholders of record and our general partner. Available Cash is generally all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68" w:lineRule="exact"/>
        <w:rPr>
          <w:sz w:val="20"/>
          <w:szCs w:val="20"/>
          <w:color w:val="auto"/>
        </w:rPr>
      </w:pPr>
    </w:p>
    <w:p>
      <w:pPr>
        <w:ind w:left="340" w:hanging="332"/>
        <w:spacing w:after="0" w:line="28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Unitholders and our general partner for any one or more of the next four calendar quarters;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of our loan or other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interest rates could materially adversely affect our business, results of operations, cash flows and financial condition.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exposure to commodity prices, we have significant exposure to changes in interest rates, including the significant increases in prevailing interest rates as a result of changes in federal monetary and fiscal policy. Approximately $3.16 billion of our consolidated debt as of December 31, 2022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 We manage a portion of our interest rate exposures by utilizing interest rate swaps.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increase in interest rates could impact demand for our storage capacity.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financing cost for a storage capacity user to own crude oil while it is stored. That financing cost is impacted by the cost of capital or interest rate incurred by the storage user, in addition to the commodity cost of the crude oil in inventory. Absent other factors, a higher financing cost adversely impacts the economics of storing crude oil for future sale. As a result, a significant increase in interest rates could adversely affect the demand for our storage capacity independent of other market factors.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investments, in general, and in particular for yield-based equity investments such as our Common Units. Any such reduction in demand for our Common Units resulting from other more attractive investment opportunities may cause the trading price of our Common Units to decline.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68"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capital market conditions;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market prices for crude oil, natural gas, NGLs and other commodities;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or threatened attacks on our facilities or those of other energy companies;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health of the energy industry, including the bankruptcy or insolvency of other companies.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 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 and Future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and our subsidiaries do not make acquisitions on economically acceptable terms, our future growth could be limited.</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results of operations and our ability to grow and to make distributions to Unitholders will depend in part on our ability to make acquisitions that are accretive to our distributable cash flow per unit.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unable to make accretive acquisitions for any of the following reasons, among others:</w:t>
      </w:r>
    </w:p>
    <w:p>
      <w:pPr>
        <w:spacing w:after="0" w:line="117"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unable to identify attractive acquisition candidates or negotiate acceptable purchase contracts with them;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unable to raise financing for such acquisitions on economically acceptable terms; or</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outbid by competitors, some of which are substantially larger than us and have greater financial resources and lower costs of capital then we do.</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even if we consummate acquisitions that we believe will be accretive, those acquisitions may in fact adversely affect our results of operations or result in a decrease in distributable cash flow per unit. Any acquisition involves potential risks, including the risk that we may:</w:t>
      </w:r>
    </w:p>
    <w:p>
      <w:pPr>
        <w:spacing w:after="0" w:line="54"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new customer relationships, cost-savings or cash flow enhancements;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our available cash or borrowing capacity to finance acquisitions;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operating in new geographic areas or new lines of business;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assets acquired for which we are not indemnified or for which the indemnity is inadequate;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hire, train or retrain qualified personnel to manage and operate our growing business and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effectively manage our historical assets, due to the diversion of management’s attention from other business concerns;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consummate future acquisitions, our capitalization and results of operations may change significantly. As we determine the application of our funds and other resources, Unitholders will not have an opportunity to evaluate the economic, financial and other relevant information that we will consider.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projects will require significant amounts of debt and equity financing, which may not be available to us on acceptable terms, or at all.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fund our growth capital expenditures, including any new pipeline construction projects and improvements or repairs to existing facilities that we may undertake, with proceeds from sales of our debt and equity securities and borrowings under our revolving credit facility; however, we cannot be certain that we will be able to issue our debt and equity securities on terms satisfactory to us, or at all. If we are unable to finance our expansion projects as expected, we could be required to seek alternative financing, the terms of which may not be attractive to us, or to revise or cancel our expansion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increase in our indebtedness that is proportionately greater than our issuance of equity could negatively impact our and our subsidiaries’ credit ratings or our ability to remain in compliance with the financial covenants under our revolving credit agreement, which could have a material adverse effect on our financial condition, results of operations and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Inflation Reduction Act of 2022 could decrease demand for crude oil and natural gas and could impose new costs on our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President Biden signed the IRA 2022, which contains hundreds of billions in incentives for the development of renewable energy, clean hydrogen, clean fuels, electric vehicles and supporting infrastructure and carbon capture and sequestration, amongst other provisions. In addition, the IRA 2022 imposes the first-ever federal fee on the emission of greenhouse gases through a methane emissions charge. The IRA 2022 amends the federal Clean Air Act to impose a fee on the emission of methane from sources required to report their greenhouse gas emissions to the EPA, including those sources in the onshore petroleum and natural gas production categories. The methane emissions charge would start in calendar year 2024 at $900 per ton of methane, increase to $1,200 in 2025, and be set at $1,500 for 2026 and each year after. Calculation of the fee is based on certain thresholds established in the IRA 2022. In addition, the multiple incentives offered for various clean energy industries referenced above could decrease demand for crude oil and natural gas, increase our compliance and operating costs and consequently adversely affect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continue to construct new pipelines, our future growth could be limited.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ability to grow and to increase distributable cash flow per unit will depend, in part, on our ability to construct pipelines that are accretive to our distributable cash flow. We may be unable to construct pipelines that are accretive to distributable cash flow for any of the following reasons, among others:</w:t>
      </w:r>
    </w:p>
    <w:p>
      <w:pPr>
        <w:spacing w:after="0" w:line="68"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identify pipeline construction opportunities with favorable projected financial returns;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obtain necessary governmental approvals and contracts with qualified contractors and vendors on acceptable terms;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raise financing for our identified pipeline construction opportunities; or</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secure sufficient transportation commitments from potential customers due to competition from other pipeline construction projects or for other reasons.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even if we construct a pipeline that we believe will be accretive, the pipeline may in fact adversely affect our results of operations or results from those projected prior to commencement of construction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Expanding our business by constructing new pipelines and related facilities subjects us to risks.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the ways that we have grown our business is through the construction of additions to our existing gathering, compression, treating, processing and transportation systems. The construction of new pipelines and related facilities (or the improvement and repair of existing facilities) involves numerous regulatory, environmental, political and legal uncertainties beyond our control and requires the expenditure of significant amounts of capital that we will be required to finance through borrowings, the issuance of additional equity or from operating cash flow. If we undertake these projects, they may not be completed on schedule, at all, or at the budgeted cost. A variety of factors outside our control, such as weather, natural disasters and difficulties in obtaining permits and rights-of-way or other regulatory approvals, as well as the performance by third-party contractors, may result in increased costs or delays in construction. For example, in recent years, pipeline projects by many companies have been subject to several challenges by environmental groups, such as challenges to agency reviews under the NEPA and to the USACE NWP program. Any changes to the USACE NWP program that exclude our projects from coverage could require us to reroute pipeline projects, or seek individual permits that involve longer permitting timelines, leading to construction delays. For more information on the NWP program, see our regulatory disclosure titled “Clean Water Act.” Separately, cost overruns or delays in completing a project could have a material adverse effect on our results of operations and cash flows. Moreover, our revenues may not increase immediately following the completion of a particular project. For instance, if we build a new pipeline, the construction will occur over an extended period of time, but we may not materially increase our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our ability to obtain commitments from producers in the area to utilize the newly constructed pipelines. In this regard, we may construct facilities to capture anticipated future growth in oil or natural gas production in a region in which such growth does not materialize. As a result, new facilities may be unable to attract enough throughput or contracted capacity reservation commitments to achieve our expected investment return, which could adversely affect our results of operations and financial condition.</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liquefaction project is dependent upon securing long-term contractual arrangements for the off-take of LNG on terms sufficient to support the financial viability of the project.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Lake Charles LNG Export, our wholly-owned subsidiary, is in the process of developing a liquefaction project at the site of our existing regasification facility in Lake Charles, Louisiana.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construction of the liquefaction project remains subject to further approvals and some approvals may be subject to further conditions, review and/or revocation.</w:t>
      </w:r>
    </w:p>
    <w:p>
      <w:pPr>
        <w:spacing w:after="0" w:line="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Lake Charles LNG Export has received authorization from the DOE to export LNG to non-Free Trade Agreements (“non-FTA”) countries, the non-FTA authorization is subject to review, and the DOE may impose additional approval and permit requirements in the future or revoke the non-FTA authorization should the DOE conclude that such export authorization is inconsistent with the public interest. The FERC order (issued December 17, 2015) authorizing Lake Charles LNG Export to site, construct and operate the liquefaction project contains a condition requiring all phases of the liquefaction project to be completed and in-service within five years of the date of the order. The order also requires the modifications to our Trunkline pipeline facilities that connect to our Lake Charles facility and additionally requires execution of a transportation contract for natural gas supply to the liquefaction facility prior to the initiation of construction of the liquefaction facility. On December 5, 2019, the FERC granted an extension of time until and including December 16, 2025, to complete construction of the liquefaction project and pipeline facilities modifications and place the facilities into service. On January 31, 2022, Lake Charles LNG Export filed seeking an extension of time until and including December 16, 2028 to complete construction of the liquefaction facilities modifications and place the facilities into service. The FERC issued an order granting the extension of time request on May 6, 2022.</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Unitholders.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difficulties of integrating past and future acquisitions with our business include, among other things:</w:t>
      </w:r>
    </w:p>
    <w:p>
      <w:pPr>
        <w:spacing w:after="0" w:line="117"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larger combined organization in new geographic areas and new lines of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or retaining qualified personnel to manage and operate our growing business and assets;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management teams and employees into existing operations and establishing effective communication and information exchange with such management teams and employees;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acquired assets and operations, including additional regulatory programs;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key employees;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 in compliance with the Sarbanes-Oxley Act of 2002 as well as other regulatory compliance and corporate governance matters;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new technology systems for financial reporting.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affected by competition from other midstream, transportation, terminalling and storage companies.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 competition in all of our business segments. With respect to our midstream operations, we compete for both natural gas supplies and customers for our services. Our competitors include major integrated oil companies, interstate and intrastate pipelines and companies that gather, compress, treat, process, transport, store and market natural gas.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including governmental regulation, environmental impacts, efficiency, ease of use and handling, and the availability of subsidies and tax benefits also affects competitive outcomes.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crude oil and refined petroleum products pipelines face significant competition from other pipelines for large volume shipments. These operations also face competition from trucks for incremental and marginal volumes in the areas we serve. Further, our crude and refined product terminals compete with terminals owned by integrated petroleum companies, refining and marketing companies, independent terminal companies and distribution companies with marketing and trading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Sunoco LP and USAC may not be able to fully execute our growth strategy if we encounter increased competition for qualified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contemplates growth through the development and acquisition of a wide range of midstream, transportation, storage and other energy infrastructure assets while maintaining a strong balance sheet. This strategy includes constructing and acquiring additional assets and businesses to enhance our ability to compete effectively and diversify our asset portfolio, thereby providing more stable cash flow. We regularly consider and enter into discussions regarding the acquisition of additional assets and businesses, stand-alone development projects or other transactions that we believe will present opportunities to realize synergies and increase our cash flow.</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strategy, we may, from time to time, engage in discussions with potential sellers regarding the possible acquisition of additional assets or businesses. Such acquisition efforts may involve our participation in processes that involve a number of potential buyers, commonly referred to as “auction” processes, as well as situations in which we believe we are the only party or one of a very limited number of potential buyers in negotiations with the potential seller. We cannot give assurance that our acquisition efforts will be successful or that any acquisition will be completed on terms considered favorable to us.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experiencing increased competition for the assets we purchase or contemplate purchasing. Increased competition for a limited pool of assets could result in us losing to other bidders more often or acquiring assets at higher prices, both of which would limit our ability to fully execute our growth strategy. Inability to execute our growth strategy may materially adversely impact our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compete with other businesses in our market with respect to attracting and retaining qualified employees.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Litigation commenced by The Williams Companies, Inc (“Williams”) against Energy Transfer and its affiliates could require Energy Transfer to make a substantial payment to Williams.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Williams filed a complaint against Energy Transfer and its affiliates (“Energy Transfer Defendants”) in the Delaware Court of Chancery (the “Court”), alleging that the Energy Transfer Defendants breached the merger agreement (the “Merger Agreement”) between Williams, Energy Transfer, and several of Energy Transfer’s affiliates by (i) failing to use commercially reasonable efforts to obtain the delivery of a tax opinion concerning Section 721 of the Internal Revenue Code, (ii) issuing the Partnership’s series A convertible preferred units (the “Issuance”), and (c) making allegedly untrue representations and warranties in the Merger Agreement (collectively, the “Williams Litigation”). Following a ruling by the Court on June 24, 2016, which allowed for the subsequent termination of the Merger Agreement by Energy Transfer on June 29, 2016, Williams filed a notice of appeal to the Supreme Court of Delaware. Williams filed an amended complaint on September 16, 2016 and sought a $410 million termination fee (the “Termination Fee”) and additional damages of up to $10 billion based on the purported lost value of the merger consideration. These damages claims are based on the alleged breaches of the Merger Agreement, as well as new allegations that the Energy Transfer Defendants breached an additional representation and warranty in the Merger Agreement. The Energy Transfer Defendants filed amended counterclaims and affirmative defenses 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September 23, 2016 and sought a $1.48 billion termination fee under the Merger Agreement and additional damages caused by Williams’ misconduct. These damages claims are based on the alleged breaches of the Merger Agreement, as well as new allegations that Williams breached the Merger Agreement by failing to disclose material information that was required to be disclosed in the Form S-4. On September 29, 2016, Williams filed a motion to dismiss the Energy Transfer Defendant’ amended counterclaims and to strike certain of the Energy Transfer Defendants’ affirmative defenses. On December 1, 2017, the Court issued a Memorandum Opinion granting Williams’ motion to dismiss in part and denying it in part. On March 23, 2017, the Delaware Supreme Court affirmed the Court’s June 24, 2016 ruling, and as a result, Williams conceded that its $10 billion damages claim is foreclosed, although the Termination Fee claim remained pending.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Trial was held regarding the parties’ amended claims on May 10-17, 2021, and on December 29, 2021, the Court ruled in favor of Williams and awarded it the Termination Fee plus certain fees and expenses, holding that the Issuance breached the Merger Agreement and that Williams had not materially breached the Merger Agreement, though the Court awarded sanctions against Williams due to its CEO’s intentional spoliation of evidence. The Court did not reach Williams’ tax-related claims.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2022, the Court entered a final judgment against the Energy Transfer Defendants in the amount of approximately $601 million plus post-judgment interest at a rate of 3.5% per year. The Energy Transfer Defendants filed the notice of appeal of this matter on October 21, 2022 and filed their opening brief in support of their appeal on December 30, 2022. Williams filed their answering brief on January 20, 2023, and the Energy Transfer Defendants filed their reply brief on February 6, 2023.</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Increased regulation of hydraulic fracturing or produced water disposal could result in reductions or delays in crude oil and natural gas production in our areas of operation, which could adversely impact our business and results of operations.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hydraulic fracturing process has come under considerable scrutiny from sections of the public as well as environmental and other groups asserting that chemicals used in the hydraulic fracturing process could adversely affect drinking water supplies and may have other detrimental impacts on public health, safety, welfare and the environment. In addition, the water disposal process has come under scrutiny from sections of the public as well as environmental and other groups asserting that the operation of certain water disposal wells has caused increased seismic activity. Additionally, several candidates for political office in both state and federal government have announced intentions to impose greater restrictions on hydraulic fracturing or produced water disposal. For example, on January 27, 2021, the Biden Administration issued an executive order temporarily suspending the issuance of new authorizations, and suspending the issuance of new leases pending completion of a review of current practices, for oil and gas development on federal lands and waters (but not tribal lands that the federal government merely holds in trust). The suspension of these federal leasing activities prompted legal action by several states against the Biden Administration, resulting in issuance of a nationwide preliminary injunction by a federal district judge in Louisiana in June 2021, followed by a permanent injunction in August 2022, effectively halting implementation of the leasing suspension. Relatedly, the Department of the Interior (“DOI”) released its report on federal gas leasing and permitting practices in November 2021, referencing a number of recommendations and an overarching intent to modernize the federal oil and gas leasing program, including by adjusting royalty and bonding rates, prioritizing leasing in areas with known resource potential, and avoiding leasing that conflicts with recreation, wildlife habitat, conservation, and historical and cultural resources. In 2022, the recommendations in this report resulted in a reduction in the volume of onshore land held for lease and an increased royalty rate. Implementation of many of the recommendations in the DOI report will require Congressional action and we cannot predict the extent to which the recommendations may be implemented now or in the future, but restrictions on federal oil and gas activities have the potential to result in increased costs on us and our customers, decrease demand for our services on federal lands, and adversely impact our business. Separately, in November 2022, the BLM proposed a rule that would limit flaring from well sites on federal lands, as well as allow the delay or denial of permits if the BLM finds that an operator’s methane waste minimization plan is insufficient. In addition, the Colorado Oil and Gas Conservation Commission adopted new rules to cover a variety of matters related to public health, safety, welfare, wildlife, and environmental resources; most significantly, these rule changes establish more stringent setbacks (2,000-foot, instead of the prior 500-foot) on new oil and gas development and eliminate routine flaring and venting of natural gas at new or existing wells across the state, each subject to only limited exceptions. Some local communities have adopted, or are considering adopting, additional restrictions for oil and gas activities, such as requiring even greater setbacks. While the final impacts of these developments cannot be predicted, the adoption of new laws or regulations imposing additional permitting, disclosures, restrictions or costs related to hydraulic fracturing or produced water disposal or prohibiting hydraulic fracturing in proximity to areas considered to be environmentally sensitive could make drilling certain wells impossible or less economically attractive. As a result, the volume of crude oil and natural gas we gather, transport and store for our customers could be substantially reduced which could have an adverse effect on our financial condition or results of operations.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Legal or regulatory actions related to the Dakota Access Pipeline could cause an interruption to current or future operations, which could have an adverse effect on our business and results of operations.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27, 2016, the Standing Rock Sioux Tribe and other Native American tribes (the “Tribes”) filed a lawsuit in the United States District Court for the District of Columbia (“District Court”) challenging permits issued by the USACE permitting Dakota Access to cross the Missouri River at Lake Oahe in North Dakota. The case was subsequently amended to challenge an easement issued by the USACE allowing the pipeline to cross land owned by the USACE adjacent to the Missouri River. As a result of this litigation, the District Court vacated the easement, ordered USACE to prepare an Environmental Impact Statement (“EIS”), and order the pipeline shutdown and drained of oil. Dakota Access and USACE appealed this decision and moved for a stay of the District Court’s orders. On August 5, 2020, the Court of Appeals granted a stay of the portion of the District Court order that required Dakota Access to shut the pipeline down and empty it of oil, but the Court of Appeals denied a stay of the easement vacatur. The August 5, 2020 order also stated that the Court of Appeals expected the USACE to clarify its position with respect to whether USACE intends to allow the continued operation of the pipeline notwithstanding the vacatur of the easement and that the District Court may consider additional relief, if necessary. Following this order, the Tribes filed a motion with the District Court seeking an injunction to prevent the continued operation of the pipeline. On January 26, 2021, the Court of Appeals affirmed the District Court’s order requiring an EIS and its order vacating the easement. In the same January 26 order, the Court of Appeals also overturned the District Court’s July 6, 2020 order that the pipeline be shut down and emptied of oil because of the lack of findings sufficient to satisfy the legal requirements for injunctive relief, including a finding of irreparable harm to the Tribes in the absence of an injunction.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District Court scheduled a status conference for February 10, 2021 to discuss the impact of the Court of Appeals’ ruling on the pending motion for injunctive relief, as well as USACE’s expectations as to how it will proceed in light of the Court of Appeals’ recent vacatur ruling. USACE filed a motion for a continuance of the status conference until April 9, 2021, and this motion was approved by the District Court on February 9, 2021. Dakota Access and the Tribes filed their supplemental declarations on April 19, 2021 and April 26, 2021, respectively. On April 26, 2021, the District Court requested that USACE advise it by May 3, 2021 as to USACE’s current position, if it has one, with respect to the motion. On May 3, 2021, USACE advised the District Court that it had not changed its position with respect to its opposition to the Tribes’ motion for injunction. The USACE also advised the District Court that it expected that the EIS will be completed by March 2022. On May 21, 2021 the District Court denied the plaintiffs’ request for an injunction. The District Court further directed the parties to file a joint status report by June 11, 2021 concerning potential next steps in the litigation. On June 22, 2021, the District Court terminated the consolidated lawsuits and dismissed all remaining outstanding counts without prejudice. On January 20, 2022, the Standing Rock Sioux Tribe withdrew as a cooperating agency on the draft EIS, prompting the USACE to temporarily pause on the draft EIS. Although we are not certain as to the timeline, the USACE now estimates that the draft EIS will be published sometime in the spring of 2023. For further information, see Note 11 to our consolidated financial statements included in “Item 8. Financial Statements and Supplementary Data” in this report.</w:t>
      </w:r>
    </w:p>
    <w:p>
      <w:pPr>
        <w:spacing w:after="0" w:line="1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interstate natural gas pipelines are subject to laws, regulations and policies governing the rates they are allowed to charge for their services, which may prevent us from fully recovering our costs.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Laws, regulations and policies governing interstate natural gas pipeline rates could affect the ability of our interstate pipelines to establish rates, to charge rates that would cover future increases in its costs, or to continue to collect rates that cover current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file with the FERC tariff rates (also known as recourse rates) that shippers may pay for interstate natural gas transportation services. We may also agree to discount these rates on a not unduly discriminatory basis or negotiate rates with shippers who elect not to pay the recourse rates. The FERC must approve or accept all rate filings for us to be allowed to charge such rates.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 or to have been unduly discriminatory. The FERC has recently exercised this authority with respect to several other pipeline companies. If the FERC were to initiate a proceeding against us and find that our rates were not just and reasonable or were unduly discriminatory, the maximum rates we are permitted to charge may be reduced and the reduction could have an adverse effect on our revenues and results of operations.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our interstate pipeline operations may increase, and we may not be able to recover all of those costs due to FERC regulation of our rates. If we propose to change our tariff rates, our proposed rates may be challenged by the FERC or third parties, and the FERC may deny, modify or limit our proposed changes if we are unable to persuade the FERC that changes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would result in just and reasonable rates that are not unduly discriminatory. We also may be limited by the terms of rate case settlement agreements or negotiated rate agreements with individual customers from seeking future rate increases, or we may be constrained by competitive factors from charging our tariff rates.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our costs increase in an amount greater than our revenues increase, or there is a lag between our cost increases and our ability to file for and obtain rate increases, our operating results would be negatively affected. Even if a rate increase is permitted by the FERC to become effective, the rate increase may not be adequate. We cannot guarantee that our interstate pipelines will be able to recover all of our costs through existing or future rates.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ability of interstate pipelines held in tax-pass-through entities, like us, to include an allowance for income taxes as a cost-of-service element in their regulated rates has been subject to extensive litigation before the FERC and the courts for a number of years. 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(“ROE”)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an interstate pipeline held in a tax-pass-through entity can charge for the FERC regulated transportation services are unknown at this time.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without application of FERC’s recent rate making-related policy statements and rulemakings, under the NGA, FERC or our shippers may challenge the cost-of-service rates we charge. The FERC’s establishment of a just and reasonable rate is based on many components, including ROE and tax-related components, but also other pipeline costs that will continue to affect FERC’s determination of just and reasonable cost of service rate. Moreover, we receive revenues from our pipelines based on a variety of rate structures, including cost-of-service rates, negotiated rates, discounted rates and market-based rates. Many of our interstate pipelines, such as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a pipeline’s cost-of-service components and the outcomes of any challenges to our rates by the FERC or our shippers.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an order issued January 16, 2019, the FERC initiated a review of Panhandle’s existing rates pursuant to Section 5 of the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order of the Chief Judge on October 1, 2019. The initial decision by the administrative law judge was issued on March 26, 2021. On April 26, 2021, Panhandle filed its brief on exceptions to the initial decision. On May 17, 2021, Panhandle filed its brief opposing exceptions in this proceeding. On December 16, 2022, the FERC issued its order on Panhandle’s rate case. On January 17, 2023, Panhandle filed its request for rehearing in the proceeding.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2022, Transwestern filed a rate case pursuant to Section 4 of the Natural Gas Act. By order dated September 9, 2022, a procedural schedule was adopted in this proceeding, setting the commencement of the hearing for June 22, 2023 with an initial decision anticipated by November 15, 2023. By a subsequent order dated February 14, 2023, the procedural schedule was suspended based on representations that the participants have reached an agreement in principle to resolve all issues in this proceeding and a settlement is being prepared for filing at FERC.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1, 2022, Sea Robin filed a general rate proceeding under Section 4 of the NGA reflecting a general rate increase for gathering and transportation services. A hearing in the proceeding is scheduled for October 24, 2023 with an initial decision anticipated by March 19, 2024.</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Our interstate natural gas pipelines are subject to laws, regulations and policies governing terms and conditions of service, which could adversely affect our business and results of operations.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rate oversight, the FERC’s regulatory authority extends to many other aspects of the business and operations of our interstate natural gas pipelines, including:</w:t>
      </w:r>
    </w:p>
    <w:p>
      <w:pPr>
        <w:spacing w:after="0" w:line="54"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 of service;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services interstate pipelines may or must offer their customers;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siting and construction of new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extension or abandonment of services or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information posting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records;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affiliated companies involved in all aspects of the natural gas and energy businesses.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requirements can be costly and burdensome. In addition, we cannot guarantee that the FERC will authorize tariff changes and other activities we might propose and to undertake in a timely manner and free from potentially burdensome conditions. Future changes to laws, regulations, policies and interpretations thereof may impair our access to capital markets or may impair the ability of our interstate pipelines to compete for business, may impair their ability to recover costs or may increase the cost and burden of operation.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FERC issued a Notice of Inquiry (“NOI”) on April 19, 2018 (“2018 NOI”) initiating a review of its policies on certification of natural gas pipelines, including an examination of its long-standing Policy Statement on Certification of New Interstate Natural Gas Pipeline Facilities (“1999 Policy Statement”), issued in 1999, that is used to determine whether to grant certificates for new pipeline projects. On February 18, 2021, the FERC issued another NOI (“2021 NOI”), reopening its review of the 1999 Policy Statement. Comments on the 2021 NOI were due on May 26, 2021. In September 2021, FERC issued a Notice of Technical Conference on Greenhouse Gas Mitigation related to natural gas infrastructure projects authorized under Sections 3 and 7 of the Natural Gas Act. A technical conference was held on November 19, 2021, and post-technical conference comments were submitted to the FERC on January 7, 2022. On February 18, 2022, the FERC issued two new policy statements: (1) an Updated Policy Statement on the Certificate of New Interstate Natural Gas Facilities and (2) a Policy Statement on the Consideration of Greenhouse Gas Emissions in Natural Gas Infrastructure Project Reviews (“2022 Policy Statements”), to be effective that same day. On March 24, 2022, the FERC issued an order designating the 2022 Policy Statements as draft policy statements, and requested further comments. The FERC stated that it will not apply the now draft 2022 Policy Statements to pending applications or applications to be filed at FERC until it issues any final guidance on these topics. Comments on the 2022 Policy Statements were due on April 25, 2022, and reply comments were due on May 25, 2022. We are unable to predict what, if any, changes may be proposed as a result of the 2022 Policy Statements that might affect our natural gas pipeline or LNG facility projects, or when such new policies, if any, might become effective. We do not expect that any change in these policy statements would affect us in a materially different manner than any other natural gas pipeline company operating in the United States.</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Rate regulation or market conditions may not allow us to recover the full amount of increases in the costs of our crude oil, NGL and refined products pipeline operations.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Transportation provided on our common carrier interstate crude oil, NGL and refined products pipelines is subject to rate regulation by the FERC, which requires that tariff rates for transportation on these oil pipelines be just and reasonable and not unduly discriminatory. If we propose new or changed rates, the FERC or interested persons may challenge those rates and the FERC is authorized to suspend the effectiveness of such rates for up to seven months and to investigate such rates. If, upon completion of an investigation, the FERC finds that the proposed rate is unjust or unreasonable, it is authorized to require the carrier to refund revenues in excess of the prior tariff during the term of the investigation.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ratemaking methodology used by the FERC to authorize increases in the tariff rates of petroleum pipelines is price indexing. The FERC’s ratemaking methodologies may limit our ability to set rates based on our costs or may delay the use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rates that reflect increased costs. On March 25, 2020, the FERC issued a Notice of Inquiry seeking comment on a proposal to change the preliminary screen for complaints against oil pipeline index rate increases to a “Percentage Comparison Test” consistent with the preliminary screen used by the FERC for protests against oil pipeline index rate increases. The FERC also requested comment on whether the appropriate threshold for the screen is a 10% or more differential between a proposed index rate increase and the annual percentage change in cost of service reported by the pipeline. Initial comments were due June 16, 2020, and reply comments were due July 16, 2020.</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20, 2022, the FERC issued a policy statement on the Standard Applied to Complaints Against Oil Pipeline Index Rate Changes to establish guidelines regarding how the FERC will evaluate shipper complaints against oil pipeline index rate increases. Specifically, the policy statement adopted the proposal in the FERC’s earlier Notice of Inquiry issued on March 25, 2020 to eliminate the “Substantially Exacerbate Test” as the preliminary screen applied to complaints against index rate increases and instead adopt the proposal to apply the “Percentage Comparison Test” as the preliminary screen for both protests and complaints against index rate increases.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18, 2020, FERC issued a NOI requesting comments on a proposed oil pipeline index for the five-year period commencing July 1, 2021 and ending June 30, 2026, and requested comments on whether and how the index should reflect the Revised Policy Statement and FERC’s treatment of accumulated deferred income taxes as well as FERC’s revised ROE methodology.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2020, FERC issued an order establishing a new index of PPI-FG plus 0.78%.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to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have appealed the January 20 and May 6 orders. Such appeals remain pending at the D.C. Circuit.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Energy Policy Act of 1992 (the “Energy Policy Act”), certain interstate pipeline rates were deemed just and reasonable or “grandfathered.” Revenues are derived from such grandfathered rates on most of our FERC-regulated pipelines. A person challenging a grandfathered rate must, as a threshold matter, establish a substantial change since the date of enactment of the Energy Policy Act,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us to reduce pipeline rates prospectively and to pay refunds to shippers.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FERC’s petroleum pipeline ratemaking methodologies procedures changes, the new methodology or procedures could adversely affect our business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regulatory measures could adversely affect the business and operations of our midstream and intrastate pipeline and storage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midstream and intrastate transportation and storage operations are generally exempt from FERC regulation under the NGA, but FERC regulation still significantly affects our business and the market for our products. The rates, terms and conditions of service for the interstate services we provide in our intrastate gas pipelines and gas storage are subject to FERC regulation under Section 311 of the NGPA. Our pipeline systems of Enable Oklahoma Intrastate Transmission, LLC, Oasis Pipeline, LP, Houston Pipe Line Company LP, ETC Katy Pipeline, LLC, Energy Transfer Fuel, LP, Lobo Pipeline Company, LLC, Pelico Pipeline, LLC, Regency Intrastate Gas LP, Red Bluff Express Pipeline, LLC, Trans-Pecos Pipeline, LLC and Comanche Trail Pipeline, LLC provide such services. Under Section 311, rates charged for transportation and storage must be fair and equitable. Amounts collected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our costs of service, our cash flow would be negatively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midstream and intrastate gas and oil transportation pipelines and our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 in an effort to resolve grievances relating to the fairness of rates and terms of access. The states in which we operate have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ratable take statutes, which generally require gathering pipelines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our business may be adversely affected.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intrastate transportation operations located in Texas are also subject to regulation as gas utilities by the TRRC. Texas gas utilities must publish the rates they charge for transportation and storage services in tariffs filed with the TRRC, although such rates are deemed just and reasonable under Texas law unless challenged in a complaint.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of our assets may become subject to regulation.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 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Intrastate transportation of NGLs is largely regulated by the state in which such transportation takes place. Energy Transfer GC NGL’s pipeline transports NGLs within the state of Texas and is subject to regulation by the TRRC. This NGLs transportation system offers services pursuant to an intrastate transportation tariff on file with the TRRC. In 2013, Energy Transfer GC NGL’s pipeline also commenced the interstate transportation of NGLs, which is subject to the FERC’s jurisdiction under the Interstate Commerce Act (“ICA”) and the Energy Policy Act. Both intrastate and interstate NGL transportation services must be provided in a manner that is just, reasonable, and non-discriminatory. The tariff rates established for interstate services were based on a negotiated agreement; however, if the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the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any of our pipelines were found to have provided services or otherwise operated in violation of the NGA,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and liabilities resulting from performance of pipeline integrity programs and related repairs.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authority under the NGPSA and HLPSA, PHMSA has established a series of rules requiring pipeline operators to develop and implement integrity management programs for natural gas transmission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These regulations require operators of covered pipelines to:</w:t>
      </w:r>
    </w:p>
    <w:p>
      <w:pPr>
        <w:spacing w:after="0" w:line="72"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assessments of pipeline integrity;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characterize applicable threats to pipeline segments that could impact a high consequence area;</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data collection, integration and analysis;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remediate the pipeline as necessary;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preventive and mitigating actions.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October 2019, PHMSA published the first of three regulations relating to new or more stringent requirements for certain natural gas lines and gathering lines, that had originally been proposed in 2016 as part of PHMSA’s “Gas Megarule.” The rulemaking imposed numerous requirements on onshore gas transmission pipelines relating to MAOP, reconfirmation and exceedance reporting, the integrity assessment of additional pipeline mileage found in MCAs, non-HCAs, Class 3 and Class 4 areas by 2023, and the consideration of seismicity as a risk factor in integrity management. PHMSA’s second final rule, applicable to hazardous liquid transmission and gathering pipelines, significantly extended and expanded the reach of certain integrity management requirements, use of in-line inspection tools by 2039 (unless the pipeline cannot be modified to permit such use), increased annual, accident, and safety-related conditional reporting requirements, and expanded use of leak detection systems beyond HCAs. The third final rule was published in August 2022, which adjusted the repair criteria for pipelines in HCAs, created new criteria for pipelines in non-HCAs, and strengthened integrity management assessment requirements, among other items. The changes adopted by these rulemakings could have a material adverse effect on our results of operations and costs of transportation services.</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NGPSA and HLPSA were amended by the Pipeline Safety, Regulatory Certainty, and Job Creation Act of 2011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In March 2022, PHMSA issued a final rule increasing the maximum administrative fines for safety violations were increased to account for inflation, with maximum civil penalties set at $239,142 per day, with a maximum of $2,391,412 for a series of violations. Upon reauthorization of PHMSA, Congress often directs the agency to complete certain rulemakings. For 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 To that end, PHMSA issued the three final rules discussed above, significantly expanding reporting and safety requirements of operators of gas gathering pipelines, imposing safety regulations on approximately 400,000 miles of previously unregulated onshore gas gathering lines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Additionally, in June 2021, PHMSA issued an Advisory Bulletin advising pipeline and pipeline facility operators of applicable requirements to update their inspection and maintenance plans for the elimination of hazardous leaks and minimization of natural gas from related pipeline facilities. The safety enhancement requirements and other provisions of Congressional mandates to PHMSA, as well as any implementation of PHMSA rules thereunder or any issuance or reinterpretation of guidance by PHMSA or any state agencies with respect thereto, could require us to install new or modified safety controls, pursue additional capital projects, or conduct maintenance programs on an accelerated basis, any or all of which tasks could result in our incurring increased operating costs that could be significant and have a material adverse effect on our results of operations or financial condition.</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the generation, handling and disposal of hazardous substances, hydrocarbons and </w:t>
      </w: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astes which activities are subject to environmental and worker health and safety laws and regulations that may cause us to incur significant costs and liabilities.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our pipelines, plants and facilities, impose specific health and safety standards addressing worker protection, and impose substantial liabilities for pollution resulting from our construction and operations activities. Several governmental authorities, such as the EPA and analogous state agencies have the power to enforce 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action obligations, suspension and debarment from federal contracting opportunities, the occurrence of delays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permitting and completion of projects, and the issuance of injunctive relief. For example, following a state grand jury investigation and the filing of charges alleging criminal misconduct involving the construction and related activities of the Mariner East 2 pipeline (“Mariner 2”), in August 2022 we entered into a plea of no contest with the Pennsylvania Attorney General’s Office that requires us to pay fines to the Commonwealth, pay for independent evaluations of potential water quality impacts to residential water supplies and compensate any affected homeowners, and to also pay $10 million to support water quality improvement projects. Any additional requirements from the PADEP regarding Mariner 2 or other of our pipeline projects may result in delays in the completion of these projects. Subsequently, the EPA issued a Notice of Proposed Debarment (“NPD”) on October 28, 2022, arising from SPLP’s and ETC Northeast Pipeline, LLC’s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agreements and convictions for violations of Pennsylvania’s Clean Streams Law related to the Revolution and Mariner 2 pipelines. The following entities were proposed for debarment: (1) SPLP (pleading entity); (2) ETC Northeast Pipeline, LLC (pleading entity); (3) Energy Transfer LP; (4) SemGroup LLC; and (5) LE GP, LLC. The NPD presently prevents the named entities from pursuing or renewing Federal government contracts or Federal financial assistance agreements. While we are engaging with the EPA to attempt to resolve the matter, at this time there can be no assurance that the EPA will not finalize a debarment applicable to the named entities for a set period of time, or expand the debarment to other Energy Transfer affiliates. Currently, none of the entities named in the NPD are party to any Federal government contracts or Federal financial assistance agreements.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incur substantial environmental costs and liabilities because of the underlying risk arising out of our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Uncertainty about the future course of regulation continues to exist following the change in U.S. presidential administrations in January 2021. Upon taking office, the Biden Administration issued an executive order directing all federal agencies to review and take action to address any federal regulations promulgated during the prior administration that may be inconsistent with the current administration’s policies. As a result, several regulatory developments have occurred, but it remains unclear the degree to which this will continue . The executive order also established a Working Group that is called on to, among other things, develop methodologies for calculating the “social cost of carbon,” “social cost of nitrous oxide” and “social cost of methane.” During 2021, the Working Group published interim estimates of the social costs of carbon, methane, and nitrous oxide and sought public comment on these estimates. The Working Group’s interim estimate of the social cost of carbon has been subject to litigation in 2022, but is in use while litigation is pending. EPA has also separately developed its own proposal for a social cost of carbon, which is significantly higher than that proposed by the Working Group. The EPA’s proposal is currently undergoing independent peer review and is not yet in use by the agency.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our operations or financial position. For example, in October 2015, the EPA published a final rule under the Clean Air Act, lowering the National Ambient Air Quality Standard (“NAAQS”) for ground-level ozone to 70 parts per billion for the 8-hour primary and secondary ozone standards, and the EPA finalized its attainment/non-attainment designations in 2018, though these are subject to change. In December 2020, the EPA announced that it was retaining without revision the 2015 NAAQS for ozone. However, the Biden Administration has announced plans to formally review this decision and consider instituting a more stringent standard.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final rule or any other new regulations could, among other things, require installation of new emission controls on some of our equipment, result in longer permitting timelines or new restrictions or prohibitions with respect to permits or projects, and significantly increase our capital expenditures and operating costs, which could adversely impact our business. Historically, we have been able to satisfy the more stringent nitrogen oxide emission reduction requirements that affect our compressor units in ozone non-attainment areas at reasonable cost, but there is no assurance that we will not incur material costs in the future to meet the new, more stringent ozone standard.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Regulations under the Clean Water Act, Oil Pollution Act of 1990, as amended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us to maintain spill prevention control and countermeasure plans at our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to be available to respond to a spill on water from above-ground storage tanks or pipelines.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Transportation and storage of refined products over and adjacent to water involves risk and potentially subjects us to strict, joint, and potentially unlimited liability for removal costs and other consequences of an oil spill where the spill is into navigable waters, along shorelines or in the exclusive economic zone of the United States.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 oil spill into navigable waters, substantial liabilities could be imposed upon us. The Clean Water Act imposes restrictions and strict controls regarding the discharge of pollutants into navigable waters, with the potential of substantial liability for the violation of permits or permitting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Climate change legislation or regulations restricting emissions of greenhouse gases could result in increased operating costs and reduced demand for the services we provide.</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In August 2022, the IRA 2022 was signed into law, which appropriates significant federal funding for renewable energy initiatives and amends the federal Clean Air Act to impose a first-time fee on the emission of methane from sources required to report their GHG emissions to the EPA. The IRA 2022 imposes a methane emissions charge on sources required to report their GHG emissions to the EPA, which would start in calendar year 2024 at $900 per ton of methane, increase to $1,200 in 2025, and be set at $1,500 for 2026 and each year after. Calculation of the fee is based on certain thresholds established in the IRA 2022.Additionally,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finalized amendments to Subpart OOOOa that rescind the methane limits for new, reconstructed and modified oil and natural gas production sources while leaving in place the general emission limits for VOCs. In addition, the rulemaking removes from the oil and natural gas category the natural gas transmission and storage segment. However, Congress passed, and President Biden signed into law, a revocation of the 2020 rulemaking, effectively reinstating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2016 standards. Additionally, in November 2021, the EPA issued a proposed rule that, if finalized, would establish OOOOb new source and OOOOc first-time existing source standards of performance for GHG and VOC emissions for crude oil and natural gas well sites, natural gas gathering and boosting compressor stations, natural gas processing plants, and transmission and storage facilities, Owners or operators of affected emission units or processes would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In November 2022, the EPA released its supplemental methane proposal. Among other items, the proposal sets forth specific revisions strengthening the first nationwide emission guidelines for states to limit methane emissions from existing crude oil and natural gas facilities. The proposal also revises requirements for fugitive emissions monitoring and repair as well as equipment leaks and the frequency of monitoring surveys, establishes a “super-emitter” response program to timely mitigate emissions events, and provides additional options for the use of advanced monitoring to encourage the deployment of innovative technologies to detect and reduce methane emissions. The proposal is currently subject to public comment and is expected to be finalized in 2023. Several states have also adopted, or are considering, adopting, regulations related to GHG emissions, some of which are more stringent than those implemented by the federal government. Methane emission standards imposed on the oil and gas sector could result in increased costs to our operations or those of our customers as well as result in delays or curtailment in such operations, which costs, delays or curtailment could adversely affect our business.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GHG emission reduction goals every five years beginning in 2020. Although the United States withdrew from the Agreement under the Trump administration, President Biden recommitted the United States in February 2021, and, in April 2021, announced a new, more rigorous nationally determined emissions reduction level of 50-52% reduction from 2005 levels in economy-wide net GHG emissions by 2030. The international community gathered again in Glasgow in November 2021 at COP26 during which multiple announcements were made, including a call for parties to eliminate fossil fuel subsidies, amongst other measures. Relatedly, the United States and European Union jointly announced at COP26 the launch of the Global Methane Pledge, an initiative committing to a collective goal of reducing global methane emissions by at least 30% from 2020 levels by 2030, including “all feasible reductions” in the energy sector. At COP27 in Sharm El-Sheik in November 2022, countries reiterated the agreements from COP26 and were called upon to accelerate efforts toward the phase-out of fossil fuel subsidies. The United States also announced, in conjunction with the European Union and other partner countries, that it would develop standards for monitoring and reporting methane emissions to help create a market for low methane-intensity natural gas. Although no firm commitment or timeline to phase out or phase down all fossil fuels was made at COP27, there can be no guarantees that countries will not seek to implement such a phase out in the future.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President Biden’s January 2021 climate change executive order also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 This pause was subsequently subject to a permanent injunction in August 2022, effectively halting implementation of the leasing suspension with respect to those leases canceled or postponed prior to March 24, 2021. The executive order also directed the federal government to identify “fossil fuel subsidies” to take steps to ensure that, to the extent consistent with applicable law, federal funding is not directly subsidizing fossil fuels. As noted above, a separate executive order issued in January 2021 established a Working Group that is called on to, among other things, develop methodologies for calculating the “social cost of carbon,” “social cost of nitrous oxide” and “social cost of methane.” During 2021, the Working Group published interim estimates of the social costs of carbon, methane, and nitrous oxide and sought public comment on these estimates. The Working Group’s interim estimate of the social cost of carbon, $51 per ton, has been subject to litigation in 2022, but is in use while litigation is pending. It is difficult to predict how these measures may impact our business; however, any new restrictions on oil and gas permitting or leasing on federal lands could discourage new oil and gas development by our customers, which could have an adverse effect on our business.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strengthening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also increasing financing risks for fossil fuel energy companies, as various investors become increasingly concerned about the potential effects of climate change and may elect in the future to shift some or all of their investments into other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sectors. Institutional lenders who provide financing for fossil fuel energy companies also have become more attentive to sustainable lending practices that favor “clean” power sources such as wind and solar photovoltaic, making those sources more attractive for investment, and some of them may elect not to provide funding for fossil fuel energy companies. For example, at COP26, the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Additionally, there is the possibility that financial institutions will be required to adopt policies that limit funding for fossil fuel energy companies. In late 2020, the Federal Reserve announced that it has joined NGFS, a consortium of financial regulators focused on addressing climate-related risks in the financial sector. In November 2021, the Federal Reserve issued a statement in support of the efforts of the NGFS to identify key issues and potential solutions for the climate-related challenges most relevant to central banks and supervisory authorities. In September 2022, the Federal Reserve announced that six of the United States’ largest banks will participate in a pilot climate scenario analysis exercise, expected to be launched in early 2023, to enhance the ability of firms and supervisors to measure and manage climate-related financial risk. While we cannot predict what polices may result from these developments, such efforts could make it more difficult for exploration and production companies and midstream companies, like us, to secure funding as well as negatively affect the cost of, and terms for, financings to fund growth projects or other aspects of our business. Additionally, in March 2022 the SEC released a proposed rule requiring climate disclosures, which is expected to be finalized in early 2023. Although the form and substance of these requirements is not yet known, this may result in additional costs to comply with any such disclosure requirements.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Climatic events in the areas in which we operate, whether from climate change or otherwise, can cause disruptions, and in some cases, delays in, or suspension of, our services. These event, including but not limited to drought, winter storms, wildfire, extreme temperatures or flooding, may become more intense or more frequent as a result of climate change and could have an adverse effect on our continued operations. If such effects were to occur, our operations could be adversely affected in various ways, including damages to our facilities or our customers’ facilities from powerful winds or rising waters. We may experience increased insurance costs, or difficulty obtaining adequate insurance coverage, for our assets in areas subject to more frequent severe weather. We may not be able to recoup these increased costs through the rates we charge our customers. Extreme weather events could cause damage to property or facilities that could exceed our insurance coverage and our business, financial condition and results of operations could be adversely affected.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climate-related decrease in demand for crude oil, natural gas and other hydrocarbon products could negatively affect our business.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Supply and demand for crude oil, natural gas and other hydrocarbon products we handle is dependent upon a variety of factors, many of which are beyond our control. These factors include, among others, the potential adoption of new government regulations, including those related to fuel conservation measures and climate change regulations, technological advances in fuel economy and energy generation devices. For example, legislative, regulatory or executive actions intended to reduce emissions of GHGs could increase the cost of consuming crude oil, natural gas and other hydrocarbon products, thereby potentially causing a reduction in the demand for such products. A broader transition to alternative fuels or energy sources, whether resulting from potential new government regulation, carbon taxes, governmental incentives and funding such as those provided in the IRA 2022, or consumer preferences could result in decreased demand for hydrocarbon products like crude oil, natural gas and NGLs that we handle. Any decrease in demand for these products could consequently reduce demand for our services and could have a negative effect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attention to ESG matters and conservation measures may adversely impact our business.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Increasing attention to, and societal expectations on companies to address, climate change and other environmental and social impacts, investor and societal expectations regarding voluntary ESG disclosures, and consumer demand for alternative forms of energy may result in increased costs, reduced demand for fossil fuels and consequently demand for our midstream services, reduced profits, increased risk of investigations and litigation, and negative impacts on the value of our assets and access to capital. Increasing attention to climate change and environmental conservation, for example, may result in reduced demand for oil and natural gas products and additional governmental investigations and private litigation against us or our customers. To the extent that societal pressures or political or other factors are involved, it is possible that such liability could be imposed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regard to our causation of or contribution to climate change or asserted damage to the environment, or to other mitigating factors. While we may participate in various voluntary frameworks and certification programs to improve the ESG profile of our operations and products, we cannot guarantee that such participation or certification will have the intended results on our ESG profile. Moreover, while we are pursuing various low-carbon opportunities such as renewable power generation, renewable fuels, and carbon capture and storage projects through our alternative energy initiatives to address potential energy transition related risks, we cannot guarantee that we will be able to execute these projects in a timely manner because of permitting, technology, or other risks or that such opportunities will ultimately be successful.</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while we create and publish voluntary disclosures regarding ESG matters from time to time, many of the statements in those voluntary disclosures will be based on expectations and assumptions.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in the future, such targets are aspirational. We may not be able to meet such targets in the manner or on such a timeline as initially contemplated, including, but not limited to as a result of unforeseen costs or technical difficulties associated with achieving such results. To the extent that we do meet such targets, we may consider the acquisition of various credits or offsets that may be deemed to assist in the achievement of such targets or otherwise mitigate our ESG impact instead of actual achievements of such targets or actual changes in our ESG performance.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Unfavorable ESG ratings and recent activism directed at shifting funding away from companies with energy-related assets could lead to increased negative investor sentiment toward us and our industry and to the diversion of investment to other industries, which could have a negative impact on our access to and costs of capital. Additionally, to the extent ESG matters negatively impact our reputation, we may not be able to compete as effectively to recruit or retain employees, which may adversely affect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ESG matters may also impact our customers or suppliers, which may adversely impact our business, financial condition, or results of operations.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requires that certain classes of swaps be cleared on a derivatives clearing organization and traded on a designated contract markets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Bureau of Ocean Energy Management (“BOEM”) and the federal Bureau of Safety and Environmental Enforcement (“BSEE”), each agencies of the DOI,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difficult and more costly actions and adversely affect or delay new drilling and ongoing development efforts. For instance, in January 2021, the Biden Administration issued an executive order focused on climate change that, among other things,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our customers. Separately, in October 2020, BOEM and BSEE published a proposed rule regarding financial assurance requirements for offshore leases, particularly regarding requirements for bonds above base amounts prescribed by regulation. At this time, we cannot determine with any certainty the amount of any additional financial assurance that may be ordered by BOEM and required of us in the future, or that such additional financial assurance amounts can be obtained. The final publication or implementation of this rule,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our customers to implement and complete any such spill response activities or any decommissioning obligations could exceed estimated accruals, insurance limits, or supplemental bonding amounts, which could result in the incurrence of additional costs to complete. Separately, in January 2021, the Biden Administration issued orders temporarily suspending the issuance of new authorizations and suspending the issuance of new leases pending completion of a review of current practices, for oil and gas development on federal lands and waters. The suspension of these federal leasing activities prompted legal action by several states against the Biden Administration, resulting in issuance of a nationwide preliminary injunction by a federal district judge in Louisiana in June 2021 and permanent injunction in August 2022, effectively halting implementation of the leasing suspension. Additionally, provisions in the IRA 2022 require that particular offshore oil and gas lease sales under the 2017 – 2022 leasing program proceed, and the DOI has reinstated or announced plans for those sales. In July 2022, the DOI published a proposed offshore leasing program for 2023 – 2028, although the approval process is ongoing and may be subject to change or challenge. Relatedly, the DOI released its report on federal gas leasing and permitting practices in November 2021, referencing a number of recommendations and an overarching intent to modernize the federal oil and gas leasing program, including by adjusting royalty and bonding rates, prioritizing leasing in areas with known resource potential, and avoiding leasing that conflicts with recreation, wildlife habitat, conservation, and historical and cultural resources. Implementation of many of the recommendations in the DOI report will require Congressional action and we cannot predict the extent to which the recommendations may be implemented now or in the future, but restrictions on federal oil and gas activities have the potential to result in increased costs on us and our customers, decrease demand for our services on federal lands, and adversely impact our business and adversely impact our business. The Biden Administration also published an order calling for an increase in the production of offshore wind energy, which may impact the use of federal waters. We cannot predict with any certainty the full impact of any new laws or regulations on our customers’ drilling operations or on the cost or availability of insurance to cover some or all of the risks associated with such operations. The occurrence of any one or more of these developments could result in decreased demand for our services, which could have a material adverse effect on our business as well as our financial position, results of operation and liquidity.</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business is subject to federal, state and local laws and regulations that govern </w:t>
      </w:r>
      <w:r>
        <w:rPr>
          <w:rFonts w:ascii="Times New Roman" w:cs="Times New Roman" w:eastAsia="Times New Roman" w:hAnsi="Times New Roman"/>
          <w:sz w:val="18"/>
          <w:szCs w:val="18"/>
          <w:i w:val="1"/>
          <w:iCs w:val="1"/>
          <w:color w:val="auto"/>
        </w:rPr>
        <w:t>the product quality specifications of the petroleum products that we store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transport.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petroleum products that we store and transport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patented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Partnership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Units or Other Classes of Equity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issue an unlimited number of limited partner interests or other classes of equity without the consent of our Unitholders, which will dilute Unitholders’ ownership interest in us and may increase the risk that we will not have sufficient available cash to maintain or increase our per unit distribution level.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Partnership Agreement allows us to issue an unlimited number of additional limited partner interests, including securities senior to the Common Units, without the approval of our Unitholders. The issuance of additional Common Units or other equity securities by us will have the following effects:</w:t>
      </w:r>
    </w:p>
    <w:p>
      <w:pPr>
        <w:spacing w:after="0" w:line="54"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current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Common Unit or partnership security may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Unit and/or Preferred Unit may be diminished;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Units and/or Preferred Units may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to Unitholders and Governance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are not guaranteed and may fluctuate with our performance and other external factors.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cash we can distribute to our Unitholders depends upon the amount of cash we generate from our operations and from our subsidiaries, Sunoco LP and USAC. The amount of cash we generate from our operations will fluctuate from quarter to quarter and will depend upon, among other things:</w:t>
      </w:r>
    </w:p>
    <w:p>
      <w:pPr>
        <w:spacing w:after="0" w:line="68"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natural gas, NGLs, crude oil and refined products transported in our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our processing and treating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we charge and the margins we realize for our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natural gas, NGLs, crude oil and refined products;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natural gas, NGL and crude oil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in our operating areas;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other midstream, transportation and storage and other energy providers;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results of our derivative activities.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actual amount of cash we and our subsidiaries, including Sunoco LP and USAC, will have available for distribution will also depend on other factors, such as:</w:t>
      </w:r>
    </w:p>
    <w:p>
      <w:pPr>
        <w:spacing w:after="0" w:line="54"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and our subsidiaries make;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costs related to litigation and regulatory compliance matters;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any margin calls that result from changes in commodity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debt service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and our subsidiaries’ working capital needs;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borrow under our revolving credit facility;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access capital markets;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our and our subsidiaries’ debt agreements;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 in its discretion for the proper conduct of our business.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all these factors, we cannot guarantee that in the future we will be able to pay distributions or that any distributions we do make will be at or above our current quarterly distribution. The actual amount of cash that is available for distribution to our Unitholders will depend on numerous factors, many of which are beyond our control or the control of our general partner.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our Unitholders should be aware that the amount of cash we have available for distribution depends primarily upon our cash flow and is not solely a function of profitability, which is affected by non-cash items. As a result, we may declare and/or pay cash distributions during periods when we record net losses.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partner’s absolute discretion in determining the level of cash reserves may adversely affect our ability to make cash distributions to Unitholders.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have liability to repay distributions.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NYSE does not require a publicly traded partnership like us to comply with certain corporate governance requirements.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and series C, D and E preferred units are listed on the NYSE. Because we are a publicly traded partnership, the NYSE does not require us to have a majority of independent directors on our general partner’s board of directors or to establish a compensation committee or a nominating and corporate governance committee. Accordingly, our Unitholders do not have the same protections afforded to stockholders of corporations that are subject to all of the corporate governance requirements of the applicable stock exchange.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control of our general partner may be transferred to a third party without Unitholder consent.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the Unitholders. Any new owner of the general partner would be in a position to replace the officers and directors of the general partner with its own designees and thereby exert significant influence over the decisions made by such officers and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majority owner of our general partner has rights that protect him against dilution.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his controlling interest in our general partner, Kelcy Warren owns all of the outstanding Energy Transfer Class A Units, which represents an approximately 20% voting interest in the Partnership. Under the terms of the Energy Transfer Class A Units, upon the issuance by the Partnership of additional common units or any securities that have voting rights that are pari passu with the Partnership common units, the Partnership will issue to the general partner additional Energy Transfer Class A Units such that Mr. Warren maintains a voting interest in the Partnership that is equivalent to his voting interest in the Partnership with respect to such Energy Transfer Class A Units (approximately 20%) prior to such issuance of common units. As a result, Mr. Warren is partially protected against the dilutive effect of additional common unit issuances by the Partnership with respect to voting. As of December 31, 2022, the Partnership had outstanding 765,896,700 Energy Transfer Class A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reimbursements due to our general partner may be substantial and may reduce our ability to pay the distributions to Unitholders.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the general partner. The reimbursement of these expenses and the payment of these fees could adversely affect our ability to make distributions to the Unitholders. Our general partner has sole discretion to determine the amount of these expenses and fees.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our common units have limited voting rights and are not entitled to elect our general partner or its directors.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holders of common stock in a corporation, our common unitholders have only limited voting rights on matters affecting our business and, therefore, limited ability to influence management’s decisions regarding our business. Our Unitholders have no right to elect our general partner or the board of directors of our general partner. Our general partner has the right to appoint and replace the members of the board, including all of its independent directors. Mr. Warren owns an 81.2% membership interest in our general partner and controls our general partner and therefore has the ability to direct our general partner with respect to the exercise of these governance rights.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Unitholders are dissatisfied with the general partner’s performance, they have limited ability to remove the general partner. The vote of the holders of at least 66 2/3% of all outstanding common units is required to remove the general partner; however, Mr. Warren owns a significant number of common units and, through his controlling interest in the general partner, owns all of the outstanding Energy Transfer Class A Units, which vote together with the common units and entitle the holders of the Energy Transfer Class A Units to maintain the voting percentage in Energy Transfer represented by such Energy Transfer Class A Units as of the date the initial Energy Transfer Class A Units were issued (approximately 20%) any time new common units are issued. As of February 16, 2023, Mr. Warren’s combined common unit and Energy Transfer Class A Unit ownership results in a voting interest in the Partnership of 27%. As a result of this and other limitations, it may be more difficult to remove the general partner.</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Partnership Agreement contains provisions limiting the ability of common unitholders to call meetings or to obtain information about our operations, as well as other provisions limiting our common unitholders’ ability to influence the manner or direction of management. Common unitholders’ voting rights are further restricted by a provision of our Partnership Agreement providing that any units held by a person or group that owns 20% or more of such class of units then outstanding, other than, with respect to our common units, the general partner, its affiliates, their direct transferees and their indirect transferees approved by our general partner (which approval may be granted in its sole discretion) and persons who acquired such common units with the prior approval of the general partner, cannot vote on any matter.</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Kelcy Warren owns a majority interest in, and controls, our general partner, and our general partner has sole responsibility for conducting our business and managing our operations. The general partner may have conflicts of interest with us and limited fiduciary duties, and it may favor its own interests to the detriment of us and our Unitholders.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Warren owns an 81.2% membership interest in, and therefore controls, the general partner and accordingly has the right to appoint and replace all of the officers and directors of the general partner. Although our general partner has a fiduciary duty to manage us in a manner that is beneficial to us and our Unitholders, the directors and officers of the general partner also have a fiduciary duty to manage the general partner in a manner that is beneficial to its majority owner, Mr. Warren. Conflicts of interest will arise between the general partner and its owner, on the one hand, and us and our Unitholders, on the other hand. In resolving these conflicts of interest, the general partner may favor its own interests and the interests of its owner over our interests and the interests of our Unitholders.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not have limited liability if a court finds that limited partner actions constitute control of our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law, unitholders could be held liable for our obligations to the same extent as a general partner if a court determined that the right of limited partners to remove our general partner or to take other action under the Partnership Agreement constituted participation in the “control” of our business. Additionally, under Delaware law, our general partner has unlimited liability for the obligations of Energy Transfer, such as our debts and environmental liabilities, except for those contractual obligations of Energy Transfer that are expressly made without recourse to the general partner.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limitations on the liability of holders of limited partner interests for the obligations of a limited partnership have not been clearly established in some of the states in which we do business. Unitholders could have unlimited liability for obligations of the Partnership if a court or government agency determined that (i) we were conducting business in a state, but had not complied with that particular state’s partnership statute; or (ii) a Unitholder’s right to act with other Unitholders to remove or replace our general partner, to approve some amendments to our Partnership Agreement or to take other actions under the Partnership Agreement constituted “control” of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 has a limited call right that may require Unitholders to sell their units at an undesirable time or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90% of our outstanding units, our general partner will have the right, but not the obligation, which it may assign to any of its affiliates or to us, to acquire all, but not less than all, of the units held by unaffiliated persons at a price not less than their then-current market price. As a result, Unitholders may be required to sell their units at an undesirable time or price and may not receive any return on their investment. Unitholders may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incur a tax liability upon a sale of their units. As of December 31, 2022, the directors and executive officers of our general partner owned approximately 11% of our Common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holding company structure in which our subsidiaries conduct our operations and own our operating assets.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In particular, our Five-Year Credit Facility (as defined herein), limits our and certain of our subsidiaries’ ability to make distributions. If we are unable to obtain funds from our subsidiaries, we may not be able to pay distributions to our Unitholders or to pay interest or principal on our debt when due.</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interruption of distributions to us from our operating subsidiaries and equity investees may affect our ability to satisfy our obligations and to make distributions to our partners.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business operations other than that of our operating subsidiaries. Our only significant assets are the equity interests we own in our operating subsidiaries and equity investees. As a result, we depend upon the earnings and cash flow of our operating subsidiaries and equity investees and any interruption of distributions to us may affect our ability to meet our obligations, including any obligations under our debt agreements, and to make distributions to our partners.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subsidiaries are not prohibited from competing with us.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our Partnership Agreement nor the partnership agreements of our subsidiaries, including Sunoco LP and USAC, prohibit our subsidiaries from owning assets or engaging in businesses that compete directly or indirectly with us. In addition, our subsidiaries may acquire, construct or dispose of any assets in the future without any obligation to offer us the opportunity to purchase or construct any of those assets.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and USAC may issue additional common units, which may increase the risk that each Partnership will not have sufficient available cash to maintain or increase its per unit distribution level.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agreements of Sunoco LP and USAC allow each partnership to issue an unlimited number of additional limited partner interests. The issuance of additional common units or other equity securities by each respective partnership will have the following effects:</w:t>
      </w:r>
    </w:p>
    <w:p>
      <w:pPr>
        <w:spacing w:after="0" w:line="54"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current proportionate ownership interest in each partnership will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common unit or partnership security may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unit may be diminished;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each partnership’s common units may decline.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of distributions on any additional units issued by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reduction in Sunoco LP’s distributions will disproportionately affect the amount of cash distributions to which Energy Transfer is entitled.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Transfer indirectly owns all of the incentive distribution rights (“IDRs”) of Sunoco LP. These IDRs entitle the holder to receive increasing percentages of total cash distributions made by Sunoco LP as such entity reaches established target cash distribution levels as specified in its partnership agreement. Energy Transfer currently receives its pro rata share of cash distributions from Sunoco LP based on the highest sharing level of 50% in respect of the Sunoco LP IDRs.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decrease in the amount of distributions by Sunoco LP to less than $0.65625 per unit per quarter would reduce Energy Transfer’s percentage of the incremental cash distributions from Sunoco LP above $0.546875 per unit per quarter from 50% to 25%. As a result, any such reduction in quarterly cash distributions from Sunoco LP would have the effect of disproportionately reducing the amount of all distributions that Energy Transfer receives, based on its ownership interest in the IDRs as compared to cash distributions received from its Sunoco LP common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decrease in demand for motor fuel, including increased consumer preference for alternative motor fuels or improvements in fuel efficiency, in the areas Sunoco LP serves would reduce their ability to make distributions to its unitholders.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sales of refined motor fuels accounted for approximately 98% of Sunoco LP’s total revenues and 72% of gross profit. A significant decrease in demand for motor fuel in the areas Sunoco LP serves could significantly reduce revenues and Sunoco LP’s ability to make distributions to its unitholders, including Energy Transfer.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technologies have been developed and governmental mandates have been implemented to improve fuel efficiency, which may result in decreased demand for petroleum-based fuel. Any of these outcomes could result in fewer visits to Sunoco LP’s convenience stores or independently operated commission agents and dealer locations, a reduction in demand from their wholesale customers, decreases in both fuel and merchandise sales revenue, or reduced profit margins, any of which could have a material adverse effect on Sunoco LP’s business, financial condition, results of operations and cash available for distribution to its unitholders.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 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industries in which Sunoco LP operates are subject to seasonal trends, which may cause its operating costs to fluctuate, affecting its cash flow.</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dangers inherent in the storage and transportation of motor fuel could cause disruptions in Sunoco LP’s operations and could expose them to potentially significant losses, costs or liabilities.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stores motor fuel in underground and aboveground storage tanks. Sunoco LP transports the majority of its motor fuel in its own trucks, instead of by third-party carriers. Sunoco LP’s operations are subject to significant hazards and risks inherent in transporting and storing motor fuel.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 and the properties of others. Any such event not covered by Sunoco LP’s insurance could have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its business, financial condition, results of operations and cash available for distribution to its unitholders.</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Sunoco LP’s fuel storage terminals are subject to operational and business risks which may adversely affect their financial condition, results of operations, cash flows and ability to make distributions to its unitholders.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LP’s fuel storage terminals are subject to operational and business risks, the most significant of which include the following:</w:t>
      </w:r>
    </w:p>
    <w:p>
      <w:pPr>
        <w:spacing w:after="0" w:line="117"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renew a ground lease for certain of their fuel storage terminals on similar terms or at all;</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third parties to supply their fuel storage terminals;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at their fuel storage terminals or interrupted operations due to weather-related or other natural causes;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that the nation’s terminal infrastructure may be a future target of terrorist organizations;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prices of the products stored at their fuel storage terminals and the resulting fluctuations in demand for storage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sustained recession or other adverse economic conditions;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federal and/or state regulations that may discourage their customers from storing gasoline, diesel fuel, ethanol and jet fuel at their fuel storage terminals or reduce the demand by consumers for petroleum products;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fuel storage terminals that are able to supply their customers with comparable storage capacity at lower prices;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or regulations that restrict emissions of GHGs could result in increased operating and capital costs and reduced demand for our storage services.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its unitholders.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events or developments associated with Sunoco LP’s branded suppliers could have an adverse impact on its revenues.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its unitholders.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distribution of wholesale motor fuel is highly competitive and fragmented, which results in narrow margins. Sunoco LP has numerous competitors, some of which may have significantly greater resources and name recognition than it does. Sunoco 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attempt to buy directly from the major oil companies. The occurrence of any of these events could have a material adverse effect on Sunoco LP’s business, financial condition, results of operations and cash available for distribution to its unitholders.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its unitholders.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does not own all of the land on which its retail service stations are located, and Sunoco LP leases certain facilities and equipment, and Sunoco LP is subject to the possibility of increased costs to retain necessary land use which could disrupt its operations.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Sunoco LP does not own all of the land on which its retail service stations are located. Sunoco LP has rental agreements for approximately 35% of the company, commission agent or dealer operated retail service stations where Sunoco LP currently controls the real estate. Sunoco LP also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Sunoco LP is subject to federal laws related to the Renewable Fuel Standard.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 identification numbers (“RINs”) either by blending biofuel into gasoline or through purchase in the open market. If the obligation was shifted from the importer/refiner to the blender/distributor, the Partnership would potentially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utilize the RINs it obtains through its blending activities to satisfy a new obligation and would be unable to sell RINs to other obligated parties, which may cause an impact on the fuel margins associated with Sunoco LP’s sale of gasoline. In addition, the RFS regulations are highly complex and evolving, and the RINs market is subject to significant price volatility as a result. In December 2022, the EPA released a proposed rule under the RFS for renewable fuel volumes for the years 2023-2025 that further increases targets for the production of renewable fuels. Subject to certain limitations, EPA now has significant discretion to set renewable fuel targets under the RFS, which could result in increased compliance obligations on refiners and importers and transportation fuels. The price of RINs to meet compliance obligations under the RFS could be substantial and adversely impact our financial condition.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more affordable to USAC’s 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USAC’s services are provided to customers on a month-to-month basis, and USAC cannot be sure that such customers will continue to utilize its services.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USAC’s contracts typically have initial terms between six months to five years, depending on the application and location of the compression unit. After the expiration of the initial term, the contract continues on a month-to-month or longer basis until terminated by USAC or USAC’s customers upon notice as provided for in the applicable contract. For the year ended December 31, 2022, approximately 29%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month-to-month contracts at substantially lower rates, it could have a material adverse effect on USAC’s business, results of operations, financial condition and cash available for distribution.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USAC’s preferred units have rights, preferences and privileges that are not held by, and are preferential to the rights of, holders of its common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Conflicts of Interest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fiduciary duties of our general partner’s officers and directors may conflict with those of Sunoco LP’s or USAC’s respective general partners.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Conflicts of interest may arise because of the relationships among Sunoco LP, USAC, their general partners and us. Our General Partner’s directors and officers have fiduciary duties to manage our business in a manner beneficial to us and our Unitholders. Some of our general partner’s directors or officers are also directors and/or officers of Sunoco LP’s general partner or USAC’s general partner, and have fiduciary duties to manage the respective businesses of Sunoco LP and USAC in a manner beneficial to Sunoco LP, USAC and their respective unitholders. The resolution of these conflicts may not always be in our best interest or that of our Unitholders.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Although we control Sunoco LP and USAC through our ownership of Sunoco LP’s and USAC’s general partners, Sunoco LP’s and USAC’s general partners owe duties to Sunoco LP and Sunoco LP’s unitholders and USAC and USAC’s unitholders, respectively, which may conflict with our interests.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Conflicts of interest exist and may arise in the future as a result of the relationships between us and our affiliates, on the one hand, and Sunoco LP and USAC and their respective limited partners, on the other hand. The directors and officers of Sunoco LP’s and USAC’s general partners have duties to manage Sunoco LP and USAC, respectively, in a manner beneficial to us. At the same time, the general partners have fiduciary duties to manage Sunoco LP and USAC in a manner beneficial to Sunoco LP and USAC and their respective limited partners. The boards of directors of Sunoco LP’s and USAC’s general partner will resolve any such conflict and have broad latitude to consider the interests of all parties to the conflict. The resolution of these conflicts may not always be in our best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conflicts of interest with Sunoco LP and USAC may arise in the following situations:</w:t>
      </w:r>
    </w:p>
    <w:p>
      <w:pPr>
        <w:spacing w:after="0" w:line="117"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shared overhead expenses to Sunoco LP, USAC and us;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contractual obligations between us and our affiliates, on the one hand, and Sunoco LP and USAC, on the other hand;</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amount of cash to be distributed to Sunoco LP’s and USAC’s partners and the amount of cash to be reserved for the future conduct of Sunoco LP’s and USAC’s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whether to make borrowings under Sunoco LP’s and USAC’s revolving credit facilities to pay distributions to their respective partners;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 business opportunity (such as a commercial development opportunity or an acquisition) that we may become aware of independently of Sunoco LP and USAC is made available for Sunoco LP and USAC to pursue;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we make in the future to engage in business activities independent of Sunoco LP and USAC.</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Potential conflicts of interest may arise among our general partner, its affiliates and us. Our general partner and its affiliates have limited fiduciary duties to us, which may permit them to favor their own interests to the detriment of us.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Conflicts of interest may arise among our general partner and its affiliates, on the one hand, and us, on the other hand. As a result of these conflicts, our general partner may favor its own interests and the interests of its affiliates over our interests. These conflicts include, among others, the following:</w:t>
      </w:r>
    </w:p>
    <w:p>
      <w:pPr>
        <w:spacing w:after="0" w:line="54" w:lineRule="exact"/>
        <w:rPr>
          <w:sz w:val="20"/>
          <w:szCs w:val="20"/>
          <w:color w:val="auto"/>
        </w:rPr>
      </w:pPr>
    </w:p>
    <w:p>
      <w:pPr>
        <w:jc w:val="both"/>
        <w:ind w:left="340" w:hanging="332"/>
        <w:spacing w:after="0" w:line="266" w:lineRule="auto"/>
        <w:tabs>
          <w:tab w:leader="none" w:pos="3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including Sunoco LP and USAC, and their respective affiliates and any general partners and limited partnerships acquired in the future, in resolving conflicts of interest, which has the effect of limiting its fiduciary duties to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hanging="332"/>
        <w:spacing w:after="0" w:line="261"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has limited its liability and reduced its fiduciary duties under the terms of our Partnership Agreement, while also restricting the remedies available for actions that, without these limitations, might constitute breaches of fiduciary duty. As a result of purchasing our units, Unitholders consent to various actions and conflicts of interest that might otherwise constitute a breach of fiduciary or other duties under applicable state law.</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our investment transactions, borrowings, issuances of additional partnership securities and reserves, each of which can affect the amount of cash that is available for distribution.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it and its affiliates have incurred are reimbursable by us.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or from entering into additional contractual arrangements with any of these entities on our behalf, so long as the terms of any such payments or additional contractual arrangements are fair and reasonable to us.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owed to us by it and its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Our Partnership Agreement limits our general partner’s fiduciary duties to us and restricts the remedies available for actions taken by our general partner that might otherwise constitute breaches of fiduciary duty.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Partnership Agreement contains provisions that reduce the standards to which our general partner would otherwise be held by state fiduciary duty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our Partnership Agreement:</w:t>
      </w:r>
    </w:p>
    <w:p>
      <w:pPr>
        <w:spacing w:after="0" w:line="99" w:lineRule="exact"/>
        <w:rPr>
          <w:sz w:val="20"/>
          <w:szCs w:val="20"/>
          <w:color w:val="auto"/>
        </w:rPr>
      </w:pPr>
    </w:p>
    <w:p>
      <w:pPr>
        <w:jc w:val="both"/>
        <w:ind w:left="340" w:hanging="332"/>
        <w:spacing w:after="0" w:line="266"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is entitled to make other decisions in “good faith” if it reasonably believes that the decisions are in our best interests;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affiliated transactions and resolutions of conflicts of interest not approved by a conflicts committee of the board of directors of our general partner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general partner may consider the totality of the relationships among the parties involved, including other transactions that may be particularly favorable or advantageous to us;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unless our general partner has acted in bad faith, the action taken by our general partner shall not constitute a breach of its fiduciary duty;</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may resolve any conflicts of interest involving us and our general partner and its affiliates, and any resolution of a conflict of interest by our general partner that is “fair and reasonable” to us will be deemed approved by all partners, including the Unitholders, and will not constitute a breach of the Partnership Agreement;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may, but is not required, in connection with its resolution of a conflict of interest, to seek “special approval” of such resolution by appointing a conflicts committee of the general partner’s board of directors composed of two or more independent directors to consider such conflicts of interest and to recommend action to the board of directors, and any resolution of the conflict of interest by the conflicts committee shall be conclusively deemed “fair and reasonable” to us; and</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willful misconduct or gross negligence.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partner’s absolute discretion in determining the level of cash reserves may adversely affect our ability to make cash distributions to our Unitholders.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Although we control Sunoco LP and USAC through our ownership of Sunoco LP’s and USAC’s general partners, Sunoco LP’s and USAC’s general partners owe duties to Sunoco LP and Sunoco LP’s unitholders and USAC and USAC’s unitholders, respectively, which may conflict with our interests.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Conflicts of interest exist and may arise in the future as a result of the relationships between us and our affiliates, on the one hand, and Sunoco LP and USAC and their respective limited partners, on the other hand. The directors and officers of Sunoco LP’s and USAC’s general partners have duties to manage Sunoco LP and USAC, respectively, in a manner beneficial to us. At the same time, the general partners have fiduciary duties to manage Sunoco LP and USAC in a manner beneficial to Sunoco LP and USAC and their respective limited partners. The boards of directors of Sunoco LP’s and USAC’s general partner will resolve any such conflict and have broad latitude to consider the interests of all parties to the conflict. The resolution of these conflicts may not always be in our best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conflicts of interest with Sunoco LP and USAC may arise in the following situations:</w:t>
      </w:r>
    </w:p>
    <w:p>
      <w:pPr>
        <w:spacing w:after="0" w:line="117" w:lineRule="exact"/>
        <w:rPr>
          <w:sz w:val="20"/>
          <w:szCs w:val="20"/>
          <w:color w:val="auto"/>
        </w:rPr>
      </w:pPr>
    </w:p>
    <w:p>
      <w:pPr>
        <w:ind w:left="400" w:hanging="311"/>
        <w:spacing w:after="0"/>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shared overhead expenses to Sunoco LP, USAC and us;</w:t>
      </w:r>
    </w:p>
    <w:p>
      <w:pPr>
        <w:spacing w:after="0" w:line="117"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contractual obligations between us and our affiliates, on the one hand, and Sunoco LP and USAC, on the other hand;</w:t>
      </w:r>
    </w:p>
    <w:p>
      <w:pPr>
        <w:spacing w:after="0" w:line="53" w:lineRule="exact"/>
        <w:rPr>
          <w:rFonts w:ascii="Times New Roman" w:cs="Times New Roman" w:eastAsia="Times New Roman" w:hAnsi="Times New Roman"/>
          <w:sz w:val="18"/>
          <w:szCs w:val="18"/>
          <w:color w:val="auto"/>
        </w:rPr>
      </w:pPr>
    </w:p>
    <w:p>
      <w:pPr>
        <w:ind w:left="420" w:right="20" w:hanging="331"/>
        <w:spacing w:after="0" w:line="282" w:lineRule="auto"/>
        <w:tabs>
          <w:tab w:leader="none" w:pos="4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amount of cash to be distributed to Sunoco LP’s and USAC’s partners and the amount of cash to be reserved for the future conduct of Sunoco LP’s and USAC’s businesses;</w:t>
      </w:r>
    </w:p>
    <w:p>
      <w:pPr>
        <w:spacing w:after="0" w:line="53"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whether to make borrowings under Sunoco LP’s and USAC’s revolving credit facilities to pay distributions to their respective partners;</w:t>
      </w:r>
    </w:p>
    <w:p>
      <w:pPr>
        <w:spacing w:after="0" w:line="53"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 business opportunity (such as a commercial development opportunity or an acquisition) that we may become aware of independently of Sunoco LP and USAC is made available for Sunoco LP and USAC to pursue; and</w:t>
      </w:r>
    </w:p>
    <w:p>
      <w:pPr>
        <w:spacing w:after="0" w:line="53"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we make in the future to engage in business activities independent of Sunoco LP and USAC.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Affiliates of our general partner may compete with us.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provided in our Partnership Agreement, affiliates and related parties of our general partner are not prohibited from engaging in other businesses or activities, including those that might be in direct competition with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Risks to Unitholders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tax treatment depends on our continuing status as a partnership for federal income tax purposes, as well as our not being subject to a material amount of entity-level taxation. If the IRS were to treat us and our subsidiaries, including Sunoco LP and USAC as a corporation for federal income tax purposes or if we, Sunoco LP or USAC become subject to a material amount of entity-level taxation for state tax purposes, then our cash available for distribution would be substantially reduced.</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units depends largely on our being treated as a partnership for federal income tax purposes. We have not requested, and do not plan to request, a ruling from the IRS on this matter. The value of our investments in Sunoco LP and USAC, depend largely on Sunoco LP and USAC being treated as partnerships for federal income tax purposes. Despite the fact that we, Sunoco LP and USAC are each a limited partnership under Delaware law, we would each be treated as a corporation for federal income tax purposes unless we satisfy a “qualifying income” requirement. Based upon our current operations and current Treasury Regulations, we believe we, Sunoco LP and USAC satisfy the qualifying income requirement. Failing to meet the qualifying income requirement or a change in current law could cause us, Sunoco LP or USAC to be treated as a corporation for federal income tax purposes or otherwise subject us to taxation as an entity.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Sunoco LP or USAC were treated as a corporation for federal income tax purposes,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units.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We currently own property or conduct business in many states that impose a margin or franchise tax. In the future, we may expand our operations. Imposition of a similar tax on us in the jurisdictions in which we operate or in other jurisdictions to which we may expand could substantially reduce our cash available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distribution to our Unitholders. Our Partnership Agreement provides that if a law is enacted or existing law is modified or interpreted in a manner that subjects us to taxation as a corporation or otherwise subjects us to entity-level taxation for U.S. federal, state, local or foreign income tax purposes, the target distribution amounts may be adjusted to reflect the impact of that law or interpretation on us.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present United States federal income tax treatment of publicly traded partnerships, including us, or an investment in our units may be modified by administrative, legislative or judicial changes or differing interpretations at any time. Members of Congress have frequently proposed and considered substantive changes to the existing United States federal income tax laws that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 have provided for the total elimination of the qualifying income exception upon which we rely for our partnership tax treatment.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modification to the United States federal income tax laws and interpretations thereof may or may not be retroactively applied and could make it more difficult or impossible for us to meet the exception for certain publicly traded partnerships to be treated as partnerships for United States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the IRS contests the federal income tax positions we take, the market for our units may be adversely affected and the costs of any such contest will reduce cash available to pay our debt securities and for distributions to our Unitholders.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units, and the prices at which they trade. In addition, the costs of any contest between us and the IRS will result in a reduction in our cash available to pay our debt securities and for distribution to our Unitholders and thus will be borne indirectly by our Unitholders.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to pay our debt securities and for distribution to our Unitholders might be substantially reduced.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To the extent possible under these rules, our general partner may elect to either pay the taxes (including any applicable penalties and interest) directly to the IRS or, if we are eligible, issue an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are required to pay taxes on their share of our income even if they do not receive any cash distributions from us.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Unitholders are required to pay any federal income taxes and, in some cases, state and local income taxes on their share of our taxable income whether or not they receive cash distributions from us. Our Unitholders may not receive cash distributions from us equal to their share of our taxable income or even equal to the actual tax liability that results from that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gain or loss on disposition of our units could be more or less than expected.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Unitholder sells their units, the Unitholder will recognize a gain or loss equal to the difference between the amount realized and that Unitholder’s tax basis in those units. Because distributions in excess of a Unitholder’s allocable share of our net taxable income decrease such Unitholder’s tax basis in their units, the amount, if any, of such prior excess distributions with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 to the units a Unitholder sells will, in effect, become taxable income to a Unitholder if such units are sold at a price greater than their tax basis in those units, even if the price such Unitholder receives is less than their original costs. In addition, because the amount realized includes a Unitholder’s share of our nonrecourse liabilities, if a Unitholder sells their units, a Unitholder may incur a tax liability in excess of the amount of cash received from the sale.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their units, whether or not representing gain, may be taxed as ordinary income to such Unitholder due to potential recapture items, including depreciation recapture. Thus, a Unitholder may recognize both ordinary income and capital loss from the sale of Common Units if the amount realized on a sale of such units is less than such Unitholder’s adjusted basis in the units. Net capital loss may only offset capital gains and, in the case of individuals, up to $3,000 of ordinary income per year. In the taxable period in which a Unitholder sells their units, such Unitholder may recognize ordinary income from our allocations of income and gain to such Unitholder prior to the sale and from recapture items that generally cannot be offset by any capital loss recognized upon the sale of units.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entities face unique tax issues from owning our units that may result in adverse tax consequences to them.</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in our units by tax-exempt entities, such as employee benefit plans and individual retirement accounts (known as IRAs) raises issues unique to them. For example, virtually all of our income allocated to organizations that are exempt from United States federal income tax, including IRAs and other retirement plans, will be unrelated business taxable income and will be taxable to them. Tax-exempt entities should consult a tax advisor before investing in our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Non-United States Unitholders will be subject to United States taxes and withholding with respect to their income and gain from owning our units.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Non-United States Unitholders are generally taxed and subject to income tax filing requirements by the United States on income effectively connected with a United States trade or business (“effectively connected income”). Income allocated to our Unitholders and any gain from the sale of our units will generally be considered to be “effectively connected” with a United States trade or business. As a result, distributions to a non-United States Unitholder will be subject to withholding at the highest applicable effective tax rate and a non-United States Unitholder who sells or otherwise disposes of a unit will also be subject to United States federal income tax on the gain realized from the sale or disposition of that unit. In addition to the withholding tax imposed on distributions of effectively connected income, distributions to a non-U.S. unitholder will also be subject to a 10% withholding tax on the amount of any distribution in excess of our cumulative net income.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United States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on or after January 1, 2023, the obligation to withhold is imposed on the transferor’s broker. Current and prospective non-U.S. unitholders should consult their tax advisors regarding the impact of these rules on an investment in our units.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subsidiaries that will be treated as corporations for federal income tax purposes and subject to corporate-level income taxes.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though we (as a partnership for United States federal income tax purposes) are not subject to United States federal income tax, some of our operations are conducted through subsidiaries that are organized as corporations for United States 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to our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treat each purchaser of units as having the same tax benefits without regard to the actual units purchased. The IRS may challenge this treatment, which could result in a Unitholder owing more tax and may adversely affect the value of the units.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because of other reasons, we have adopted certain methods for allocating depreciation, depletion and amortization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units and could have a negative impact on the value of our units or result in audit adjustments to tax returns of our Unitholders. Moreover, because we have subsidiaries that are organized as C corporations for federal income tax purposes, a successful IRS challenge could result in these subsidiaries having a greater tax liability than we anticipate and, therefore, reduce the cash available for distribution to our partnership and, in turn, to our Unitholders.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generally prorate our items of income, gain, loss and deduction between transferors and transferees of our units each month based upon the ownership of our units on the first business day of each month, instead of on the basis of the date a particular unit is transferred. The IRS may challenge aspects of our proration method, and if successful, we would be required to change the allocation of items of income, gain, loss and deduction among our Unitholders.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business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the proration method we have adopted. If the IRS were to challenge our proration method, we may be required to change the allocation of items of income, gain, loss and deduction among our Unitholders.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Unitholder whose common or preferred units are the subject of a securities loan (e.g. a loan to a short seller to cover a short sale of common or preferred units) may be considered as having disposed of those units. If so, such Unitholder would no longer be treated for tax purposes as a partner with respect to those units during the period of the loan and may recognize gain or loss from the disposition.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federal income tax consequences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and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issue additional units or engage in certain other transactions, we determine the fair market value of our assets and allocate any unrealized gain or loss attributable to such assets to the capital accounts of our Unitholders and our general partner. Although we may from time to time consult with professional appraisers regarding valuation matters, including the valuation of our assets, we make many of the fair market value estimates of our assets ourselves using a methodology based on the market value of our Common Units as a means to measure the fair market value of our assets. Our methodology may be viewed as understating the value of our assets. In that case, there may be a shift of income, gain, loss and deduction between certain Unitholders and our general partner, which may be unfavorable to such Unitholders. Moreover, under our current valuation methods, subsequent purchasers of our Common Units may have a greater portion of their Internal Revenue Code Section 743(b) adjustment allocated to our tangible assets and a lesser portion allocated to our intangible assets. The IRS may challenge our valuation methods, or our allocation of Section 743(b) adjustment attributable to our tangible and intangible assets, and allocations of income, gain, loss and deduction between our general partner and certain of our Unitholders.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of taxable income or loss being allocated to our Unitholders. It also could affect the amount of gain on the sale of Common Units by our Unitholders and could have a negative impact on the value of our Common Units or result in audit adjustments to the tax returns of our Unitholders without the benefit of additional deductions.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Unitholders will likely be subject to state and local taxes and income tax return filing requirements in jurisdictions where they do not live as a result of investing in our units.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United States federal income taxes, the Unitholders may be subject to other taxes, including state and local taxes, unincorporated business taxes and estate, inheritance or intangible taxes that are imposed by the various jurisdictions in which we or our subsidiaries conduct business or own property now or in the future, even if they do not live in any of those jurisdictions. Unitholders will likely be required to file state and local income tax returns and pay state and local income taxes in some or all of these various jurisdictions. Further, Unitholders may be subject to penalties for failure to comply with those requirements. It is the responsibility of each Unitholder to file all federal, state and local tax returns.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be subject to limitation on their ability to deduct interest expense incurred by 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our Unitholders are entitled to a deduction for the interest we have paid or accrued on indebtedness properly allocable to our trade or business during our taxable year. However, our deduction for “business interest” is generally limited to the sum of our business interest income and 30% of our “adjusted taxable income.” For the purposes of this limitation, adjusted taxable income is computed without regard to any business interest expense or business interest income.</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Treatment of distributions on Energy Transfer Preferred Units as guaranteed payments for the use of capital is uncertain and such distributions may not be eligible for the 20% deduction for qualified publicly traded partnership income.</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 treatment of distributions on our Preferred Units is uncertain. We will treat Preferred Unitholders as partners for tax purposes and will treat distributions on the Preferred Units as guaranteed payments for the use of capital that will generally be taxable to Preferred Unitholders as ordinary income. Preferred Unitholders will recognize taxable income from the accrual of such a guaranteed payment (even in the absence of a contemporaneous cash distribution). Otherwise, except in the case of our liquidation, Preferred Unitholders are generally not anticipated to share in our items of income, gain, loss or deduction, nor will we allocate any share of our nonrecourse liabilities to Preferred Unitholders. If the Energy Transfer Preferred Units were treated as indebtedness for tax purposes, rather than as guaranteed payments for the use of capital, distributions likely would be treated as payments of interest by us to Preferred Unitholders.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expect that much of the income we earn will be eligible for the 20% deduction for qualified publicly traded partnership income, the Treasury Regulations provide that income attributable to a guaranteed payment for the use of capital is not eligible for the 20% deduction for qualified business income. As a result income attributable to a guaranteed payment for use of capital recognized by holders of our Preferred Units is not eligible for the 20% deduction for qualified business income.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Preferred Unitholder will be required to recognize gain or loss on a sale of Energy Transfer Preferred Units equal to the difference between the amount realized by such Preferred Unitholder and such Preferred Unitholder’s tax basis in the Energy Transfer Preferred Units sold. The amount realized generally will equal the sum of the cash and the fair market value of other property such Preferred Unitholder receives in exchange for such Energy Transfer Preferred Units. Subject to general rules requiring a blended basis among multiple partnership interests, the tax basis of a Preferred Unit will generally be equal to the sum of the cash and the fair market value of other property paid by the Preferred Unitholder to acquire such Energy Transfer Preferred Units. Gain or loss recognized by a Preferred Unitholder on the sale or exchange of Energy Transfer Preferred Units held for more than one year generally will be taxable as long-term capital gain or loss. Because Preferred Unitholders will generally not be allocated a share of our items of depreciation, depletion or amortization, it is not anticipated that such Preferred Unitholders would be required to recharacterize any portion of their gain as ordinary income as a result of the recapture rules.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 our Preferred Units by tax-exempt investors, such as employee benefit plans and individual retirement accounts, and non-United States persons raises issues unique to them. The treatment of guaranteed payments for the use of capital to tax-exempt investors is not certain and such payments may be treated as unrelated business taxable income for federal income tax purposes. Distributions to non-United States Preferred Unitholders will be subject to withholding taxes. If the amount of withholding exceeds the amount of United States federal income tax actually due, non-United States Preferred Unitholders may be required to file United States federal income tax returns in order to seek a refund of such excess.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Preferred Unitholders are urged to consult a tax advisor with respect to the consequences of owning Energy Transfer Preferred Units.</w:t>
      </w:r>
    </w:p>
    <w:p>
      <w:pPr>
        <w:spacing w:after="0" w:line="16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description of our properties is included in “Item 1. Business.” In addition, we own office buildings for our executive offices in Dallas, Texas and office buildings in Newton Square, Pennsylvania; Houston, Texas and San Antonio,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 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Note 11 in “Item 8. Financial Statements and Supplementary Data” in this Annual Report on Form 10-K for the year ended December 31, 2022.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following environmental proceedings were decided against us, it would not be material to our financial position, results of operations or cash flows, we are required to report environmental governmental proceedings if we reasonably believe that such proceedings reasonably could result in monetary sanctions in excess of $0.3 million.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ETC Sunoco and Energy Transfer R&amp;M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Sunoco Defendants are defendants in four cases, including one case each initiated by the States of Maryland,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and Sunoco Partners Marketing &amp; Terminals L.P. (now known as Energy Transfer Marketing &amp; Terminals L.P.).</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On January 25, 2022, the chief judge assigned an administrative law judge and set a timeline for a prehearing conference.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2022, Energy Transfer and Rover filed a Complaint for Declaratory Relief in the United States District Court for the Northern District of Texas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District Court ordered a stay of the FERC’s enforcement case and the District Court case pending the resolution of two cases pending before the United States Supreme Court. Arguments were heard in those cases on November 7, 2022. Energy Transfer and Rover intend to vigorously defend this claim.</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Enforcement Staff has provided Rover with a notice pursuant to Section 1b.19 of the FERC’s regulations that Enforcement Staff intends to recommend that the FERC pursue an enforcement action against Rover and the Partnership. The company disagrees with Enforcement Staff’s findings and intends to vigorously defend against any potential penalty. On December 16, 2021, FERC issued an Order to Show Cause and Notice of Proposed Penalty (Docket No. IN17-4-000), ordering Rover to show cause why it should not be found to have violated Section 7(e) of the Natural Gas Act, Section 157.20 of FERC’s regulations, and the Rover Pipeline Certificate Order, and assessed civil penalties of $40 million.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Rover and Energy Transfer filed their answer to this order on March 21, 2022, and Enforcement Staff filed a reply on April 20, 2022. Rover and Energy Transfer filed their surreply to this order on May 13, 2022. Any and all losses, including any fines and penalties from government agencies, resulting from the general contractor’s alleged actions in conducting such HDD operations are subject to indemnity rights in favor of Rover and the Partnership.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On March 17, 2022, the Ohio Supreme Court reversed in part and remanded to the Ohio trial court. The Ohio Supreme Court agreed with Rover that the State of Ohio had waived its rights under Section 401 of the Clean Water Act but remanded to the trial court to determine whether any of the allegations fell outside the scope of the waiver. On remand, the Ohio EPA voluntarily dismissed four of the other five defendants and dismissed one of its counts against Rover. In its Fourth Amended Complaint, the Ohio EPA removed all paragraphs that alleged violations by the four dismissed defendants, including those where the dismissed defendants were alleged to have acted jointly with Rover or others. At a June 2, 2022, status conference, the trial judge set a schedule for Rover and the other remaining defendant to file motions to dismiss the Fourth Amended Complaint. On August 1, 2022, Rover and the other remaining defendant each filed their respective motions. Briefing on those motions was completed on November 4, 2022. The motions remain pending before the court.</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 AG commenced an investigation regarding the Incident, and the United States Attorney for the Western District of Pennsylvania issued a federal grand jury subpoena for documents relevant to the Incident. The scope of these investigations is not further known at this time.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2022, the PA AG issued a press release related to the Revolution pipeline, and released a Grand Jury Presentment and filed a criminal complaint against ETC Northeast Pipeline, LLC in Magisterial District Court No. 12-2-02 in Dauphin County, Pennsylvania, with respect to nine misdemeanor charges related to various alleged violations of the Clean Streams Law associated with the construction of the Revolution pipeline.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2022, the PA AG held a press conference to announce that the matter had been resolved through an agreement whereby ETC Northeast Pipeline, LLC and SPLP entered a plea of no contest to all charges. The resolution also included terms that ETC Northeast Pipeline, LLC would pay an approximate $23 thousand fine to the Clean Water Fund at the Pennsylvania Department of Environmental Protection and SPLP would pay a $35 thousand fine to the Clean Water Fund at the Pennsylvania Department of Environmental Protection. Additionally, both companies would jointly establish a fund of approximately $0.4 million to create a Homeowner Well Water Supply Grievance Program and pay $10 million to support water quality improvement projects. The plea agreement was entered by court on August 12, 2022, and the matter is now closed.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2019, we received notice from the DOJ on behalf of the EPA that a civil penalty enforcement action was being pursued under the Clean Water Act for an estimated 450 barrel crude oil release from the Mid-Valley Pipeline operated by SPLP and owned by Mid-Valley. The release purportedly occurred in October 2014 on a nature preserve located in Hamilton County, Ohio, near Cincinnati, Ohio. After discovery and notification of the release, SPLP conducted substantial emergency response, remedial work and primary restoration in three phases and the primary restoration has been acknowledged to be complete. Operation and maintenance (O&amp;M) activities will continue for several years. In December of 2019, SPLP reached an agreement in principal with the EPA regarding payment of a civil penalty which will be subject to public comment. The DOJ, on behalf of United States Department of Interior Fish and Wildlife, and the Ohio Attorney General, on behalf of the Ohio EPA, along with technical representatives from those agencies have resolved in principal the natural resource damage assessment claims related to state endangered species and compensatory restoration.</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October 28, 2022, the EPA issued a Notice of Proposed Debarment (“NPD”) arising from SPLP’s and ETC Northeast Pipeline, LLC’s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agreements and convictions for violations of Pennsylvania’s Clean Streams Law related to the Revolution and Mariner 2 pipelines. The following entities were proposed for debarment: (1) SPLP (pleading entity); (2) ETC Northeast Pipeline, LLC (pleading entity); (3) Energy Transfer LP; (4) SemGroup LLC; and (5) LE GP, LLC. The NPD presently prevents the named entities from pursuing or renewing Federal government contracts or Federal financial assistance agreements. We are engaging with the EPA to address the EPA’s concerns. Currently, none of the entities named in the NPD are party to any Federal government contracts or Federal financial assistance agreements.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2021, Energy Transfer LP, Energy Transfer R&amp;M and certain of their affiliates were named as parties in a complaint filed by the Ohio Petroleum Underground Storage Tank Release Compensation Board (“PUSTRCB”) to recover over $8.5 million paid by PUSTRCB to Energy Transfer R&amp;M or on Energy Transfer R&amp;M’s behalf due to alleged false, misleading and/or fraudulent representations. Specifically, in 1996, Energy Transfer R&amp;M filed a lawsuit in the Superior Court of California (Los Angeles City) against its historic Commercial General Liability (“CGL”) insurers, excess and re-insurers entitled Jalisco et al. v. Argonaut et al. (“Jalisco”) - Case No. BC158441 - seeking a declaration of coverage under insurance policies which had been in place before 1986. The Jalisco action included refineries, Superfund sites, oil fields, pipelines, and service stations, among other sites, and the lawsuit was ultimately settled with the insurers. Sunoco, Inc. received reimbursement from PUSTRCB for costs incurred at service stations located in Ohio, and PUSTRCB now claims that Sunoco, Inc. failed to disclose to PUSTRCB the claims asserted against its insurers, the Jalisco action and the settlements and failed to repay the monies received from PUSTRCB. PUSTRCB seeks compensatory damages, restitution and disgorgement, punitive damages, interest and attorney’s fees. A $3.2 million settlement was agreed upon in December 2022, and the matter was resolved and dismissed in January 2023 without admission of responsibility.</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2022, the State of New Mexico, ex rel. Hector Balderas, Attorney General filed a Complaint against ETO, Transwestern, Kinder Morgan, Inc., El Paso Natural Gas LLC, and Northwest Pipeline, LLC in Cause No. D-101-CV-2022-00174 in the First Judicial District Court, County of Santa Fe, State of New Mexico, seeking to recover statewide damages for contamination with PCBs used for decades by the oil and gas industry in the operation and maintenance of pipeline infrastructure. The complaint alleges discharge or release of PCBs into the natural environment from compressor stations in connection with the operation of the Transwestern Pipeline. Given the early stage of this proceeding, the Partnership is unable at this time to provide an assessment of the potential outcome or range of potential liability, if any.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29, 2022, near Henderson, Tennessee, a Mid Valley Pipeline Company mowing contractor struck an exposed section of the 22-inch diameter Hornsby to Denver line segment while mowing. The brush cutter mowing implement cut open the pipeline and released an estimated 4,345 barrels of crude oil into the surrounding area. Approximately 3,343 barrels of crude oil were recovered during initial remediation activities with the remaining volume contained within the materials removed and disposed of in accordance with applicable environmental laws and regulations. Corrective action is being completed pursuant to the Tennessee DEC’s Division of Remediation - Voluntary Action Program. No injuries resulted from the incident. Mid Valley received a Notice of Federal Interest regarding the incident and has also supplied PHMSA with information as requested. No other government agency action has occurred at this time.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above were decided against us, it would not be material to our financial position, results of operations or cash flows, we are required to report environmental governmental proceedings if we reasonably believe that such proceedings will result in monetary sanctions in excess of $300,000.</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other legal proceedings, see Note 11 to our consolidated financial statements included in “Item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UNITS, RELATED UNITHOLDER MATTERS AND ISSUER PURCHASES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10, 2023, there were approximately 12,000 holders of record of our common units, which number does not separately account for individual participants in securities positions listings. Common units represent limited partner interests in us that entitle the holders to the rights and privileges specified in Energy Transfer’s Partnership Agreement.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limited partners own an aggregate 99.9% limited partner interest in us. Our General Partner owns an aggregate 0.1% general partner interest in us. Our common units are registered under the Exchange Act, and are listed for trading on the NYSE under the ticker symbol “ET.” Each holder of a common unit is entitled to one vote per unit on all matters presented to the limited partners for a vote. In addition, if at any time any person or group (other than our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our Partnership Agreement. The common units are entitled to distributions of Available Cash as described in “Cash Distribution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Class A Units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10, 2023, the Partnership had outstanding 765,933,429 Class A units (“Energy Transfer Class A Units”) representing limited partner interests in the Partnership to the General Partner. The Energy Transfer Class A Units are entitled to vote together with the Partnership’s common units, as a single class, except as required by law. Additionally, Energy Transfer’s Partnership Agreement provides that, under certain circumstances, upon the issuance by the Partnership of additional common units or any securities that have voting rights that are pari passu with the Partnership common units, the Partnership will issue to any holder of Energy Transfer Class A Units additional Energy Transfer Class A Units such that the holder maintains a voting interest in the Partnership that is identical to its voting interest in the Partnership prior to such issuance of common units. The Energy Transfer Class A Units are not entitled to distributions and otherwise have no economic attributes.</w:t>
      </w:r>
    </w:p>
    <w:p>
      <w:pPr>
        <w:sectPr>
          <w:pgSz w:w="11900" w:h="16838" w:orient="portrait"/>
          <w:cols w:equalWidth="0" w:num="1">
            <w:col w:w="11240"/>
          </w:cols>
          <w:pgMar w:left="320" w:top="114" w:right="3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Preferred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currently has the following series of preferred units outstanding:</w:t>
      </w:r>
    </w:p>
    <w:p>
      <w:pPr>
        <w:spacing w:after="0" w:line="200" w:lineRule="exact"/>
        <w:rPr>
          <w:sz w:val="20"/>
          <w:szCs w:val="20"/>
          <w:color w:val="auto"/>
        </w:rPr>
      </w:pPr>
    </w:p>
    <w:p>
      <w:pPr>
        <w:spacing w:after="0" w:line="20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Series of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 w:lineRule="exact"/>
        <w:rPr>
          <w:sz w:val="20"/>
          <w:szCs w:val="20"/>
          <w:color w:val="auto"/>
        </w:rPr>
      </w:pPr>
    </w:p>
    <w:p>
      <w:pPr>
        <w:ind w:left="180" w:right="340" w:hanging="161"/>
        <w:spacing w:after="0" w:line="237" w:lineRule="auto"/>
        <w:rPr>
          <w:sz w:val="20"/>
          <w:szCs w:val="20"/>
          <w:color w:val="auto"/>
        </w:rPr>
      </w:pPr>
      <w:r>
        <w:rPr>
          <w:rFonts w:ascii="Times New Roman" w:cs="Times New Roman" w:eastAsia="Times New Roman" w:hAnsi="Times New Roman"/>
          <w:sz w:val="18"/>
          <w:szCs w:val="18"/>
          <w:color w:val="auto"/>
        </w:rPr>
        <w:t>6.250% Series A Fixed-to-Floating Rate Cumulative Redeemable Perpetual Preferred Units</w:t>
      </w:r>
    </w:p>
    <w:p>
      <w:pPr>
        <w:spacing w:after="0" w:line="10" w:lineRule="exact"/>
        <w:rPr>
          <w:sz w:val="20"/>
          <w:szCs w:val="20"/>
          <w:color w:val="auto"/>
        </w:rPr>
      </w:pPr>
    </w:p>
    <w:p>
      <w:pPr>
        <w:ind w:left="180" w:right="360" w:hanging="161"/>
        <w:spacing w:after="0" w:line="237" w:lineRule="auto"/>
        <w:rPr>
          <w:sz w:val="20"/>
          <w:szCs w:val="20"/>
          <w:color w:val="auto"/>
        </w:rPr>
      </w:pPr>
      <w:r>
        <w:rPr>
          <w:rFonts w:ascii="Times New Roman" w:cs="Times New Roman" w:eastAsia="Times New Roman" w:hAnsi="Times New Roman"/>
          <w:sz w:val="18"/>
          <w:szCs w:val="18"/>
          <w:color w:val="auto"/>
        </w:rPr>
        <w:t>6.625% Series B Fixed-to-Floating Rate Cumulative Redeemable Perpetual Preferred Units</w:t>
      </w:r>
    </w:p>
    <w:p>
      <w:pPr>
        <w:spacing w:after="0" w:line="10" w:lineRule="exact"/>
        <w:rPr>
          <w:sz w:val="20"/>
          <w:szCs w:val="20"/>
          <w:color w:val="auto"/>
        </w:rPr>
      </w:pPr>
    </w:p>
    <w:p>
      <w:pPr>
        <w:ind w:left="180" w:right="360" w:hanging="161"/>
        <w:spacing w:after="0" w:line="237" w:lineRule="auto"/>
        <w:rPr>
          <w:sz w:val="20"/>
          <w:szCs w:val="20"/>
          <w:color w:val="auto"/>
        </w:rPr>
      </w:pPr>
      <w:r>
        <w:rPr>
          <w:rFonts w:ascii="Times New Roman" w:cs="Times New Roman" w:eastAsia="Times New Roman" w:hAnsi="Times New Roman"/>
          <w:sz w:val="18"/>
          <w:szCs w:val="18"/>
          <w:color w:val="auto"/>
        </w:rPr>
        <w:t>7.375% Series C Fixed-to-Floating Rate Cumulative Redeemable Perpetual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80" w:right="340" w:hanging="161"/>
        <w:spacing w:after="0" w:line="237" w:lineRule="auto"/>
        <w:rPr>
          <w:sz w:val="20"/>
          <w:szCs w:val="20"/>
          <w:color w:val="auto"/>
        </w:rPr>
      </w:pPr>
      <w:r>
        <w:rPr>
          <w:rFonts w:ascii="Times New Roman" w:cs="Times New Roman" w:eastAsia="Times New Roman" w:hAnsi="Times New Roman"/>
          <w:sz w:val="18"/>
          <w:szCs w:val="18"/>
          <w:color w:val="auto"/>
        </w:rPr>
        <w:t>7.625% Series D Fixed-to-Floating Rate Cumulative Redeemable Perpetual Preferred Units</w:t>
      </w:r>
    </w:p>
    <w:p>
      <w:pPr>
        <w:spacing w:after="0" w:line="10" w:lineRule="exact"/>
        <w:rPr>
          <w:sz w:val="20"/>
          <w:szCs w:val="20"/>
          <w:color w:val="auto"/>
        </w:rPr>
      </w:pPr>
    </w:p>
    <w:p>
      <w:pPr>
        <w:ind w:left="180" w:right="360" w:hanging="161"/>
        <w:spacing w:after="0" w:line="237" w:lineRule="auto"/>
        <w:rPr>
          <w:sz w:val="20"/>
          <w:szCs w:val="20"/>
          <w:color w:val="auto"/>
        </w:rPr>
      </w:pPr>
      <w:r>
        <w:rPr>
          <w:rFonts w:ascii="Times New Roman" w:cs="Times New Roman" w:eastAsia="Times New Roman" w:hAnsi="Times New Roman"/>
          <w:sz w:val="18"/>
          <w:szCs w:val="18"/>
          <w:color w:val="auto"/>
        </w:rPr>
        <w:t>7.600% Series E Fixed-to-Floating Rate Cumulative Redeemable Perpetual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6.750% Series F Fixed-Rate Reset Cumulative Redeemable Perpetual Preferred Units</w:t>
      </w:r>
    </w:p>
    <w:p>
      <w:pPr>
        <w:spacing w:after="0" w:line="10" w:lineRule="exact"/>
        <w:rPr>
          <w:sz w:val="20"/>
          <w:szCs w:val="20"/>
          <w:color w:val="auto"/>
        </w:rPr>
      </w:pPr>
    </w:p>
    <w:p>
      <w:pPr>
        <w:ind w:left="180" w:right="40" w:hanging="161"/>
        <w:spacing w:after="0" w:line="237" w:lineRule="auto"/>
        <w:rPr>
          <w:sz w:val="20"/>
          <w:szCs w:val="20"/>
          <w:color w:val="auto"/>
        </w:rPr>
      </w:pPr>
      <w:r>
        <w:rPr>
          <w:rFonts w:ascii="Times New Roman" w:cs="Times New Roman" w:eastAsia="Times New Roman" w:hAnsi="Times New Roman"/>
          <w:sz w:val="18"/>
          <w:szCs w:val="18"/>
          <w:color w:val="auto"/>
        </w:rPr>
        <w:t>7.125% Series G Fixed-Rate Reset Cumulative Redeemable Perpetual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right="40" w:hanging="161"/>
        <w:spacing w:after="0" w:line="237" w:lineRule="auto"/>
        <w:rPr>
          <w:sz w:val="20"/>
          <w:szCs w:val="20"/>
          <w:color w:val="auto"/>
        </w:rPr>
      </w:pPr>
      <w:r>
        <w:rPr>
          <w:rFonts w:ascii="Times New Roman" w:cs="Times New Roman" w:eastAsia="Times New Roman" w:hAnsi="Times New Roman"/>
          <w:sz w:val="18"/>
          <w:szCs w:val="18"/>
          <w:color w:val="auto"/>
        </w:rPr>
        <w:t>6.500% Series H Fixed-Rate Reset Cumulative Redeemable Perpetual Preferred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Units Issued and</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Liquidation</w:t>
            </w:r>
          </w:p>
        </w:tc>
        <w:tc>
          <w:tcPr>
            <w:tcW w:w="1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Date Issued</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43"/>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Preference per Unit</w:t>
            </w: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419"/>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41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41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419"/>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414"/>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April 2021 and</w:t>
            </w:r>
          </w:p>
        </w:tc>
        <w:tc>
          <w:tcPr>
            <w:tcW w:w="0" w:type="dxa"/>
            <w:vAlign w:val="bottom"/>
          </w:tcPr>
          <w:p>
            <w:pPr>
              <w:spacing w:after="0"/>
              <w:rPr>
                <w:sz w:val="1"/>
                <w:szCs w:val="1"/>
                <w:color w:val="auto"/>
              </w:rPr>
            </w:pPr>
          </w:p>
        </w:tc>
      </w:tr>
      <w:tr>
        <w:trPr>
          <w:trHeight w:val="312"/>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2021</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350"/>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2021</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2">
            <w:col w:w="5820" w:space="280"/>
            <w:col w:w="5140"/>
          </w:cols>
          <w:pgMar w:left="320" w:top="114" w:right="339" w:bottom="1440" w:gutter="0" w:footer="0" w:header="0"/>
          <w:type w:val="continuous"/>
        </w:sectPr>
      </w:pPr>
    </w:p>
    <w:p>
      <w:pPr>
        <w:jc w:val="both"/>
        <w:ind w:left="340" w:hanging="332"/>
        <w:spacing w:after="0" w:line="235" w:lineRule="auto"/>
        <w:tabs>
          <w:tab w:leader="none" w:pos="328"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Rollup Mergers on April 1, 2021, as discussed in Note 1 to our consolidated financial statements in “Item 8. Financial Statements and Supplementary Data,” all of ETO’s previously outstanding preferred units were converted to Energy Transfer Preferred Units with identical distribution and redemption rights.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29" w:lineRule="auto"/>
        <w:tabs>
          <w:tab w:leader="none" w:pos="328"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Enable Acquisition in December 2021, Energy Transfer issued 384,780 additional Series G Preferred Units. The total reflected above includes these additional Series G Preferred Units, as well as the 1,100,000 Series G Preferred Units originally issued in the Rollup Mergers.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information for each series of outstanding preferred units, including information on distributions and redemption, is available in Note 8 in the notes to our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Energy Transfer will distribute all of its “Available Cash” to its Unitholders and its General Partner within 50 days following the end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quarter.</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Definition of Available Cash. </w:t>
      </w:r>
      <w:r>
        <w:rPr>
          <w:rFonts w:ascii="Times New Roman" w:cs="Times New Roman" w:eastAsia="Times New Roman" w:hAnsi="Times New Roman"/>
          <w:sz w:val="18"/>
          <w:szCs w:val="18"/>
          <w:color w:val="auto"/>
        </w:rPr>
        <w:t>Available Cash is defined in the Partnership Agreement and generally means, with respect to any calendar quarter, all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hand at the end of such quarter less the amount of cash reserves that are necessary or appropriate in the reasonable discretion of the General Partner to:</w:t>
      </w:r>
    </w:p>
    <w:p>
      <w:pPr>
        <w:spacing w:after="0" w:line="51"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its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and/or debt instrument or other agreement;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its General Partner in respect of any one or more of the next four quarters.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securities authorized for issuance under Energy Transfer’s equity compensation plans, see “Item 12. Security Ownership of Certain Beneficial Owners and Management and Related Unitholder Matters.”</w:t>
      </w:r>
    </w:p>
    <w:p>
      <w:pPr>
        <w:spacing w:after="0" w:line="1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and unit amounts, except per unit data, are in millions)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LP is a Delaware limited partnership whose common units are publicly traded on the NYSE under the ticker symbol “ET.”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of our consolidated financial condition and results of operations for the years ended December 31, 2022 and 2021 should be read in conjunction with our consolidated financial statements and accompanying notes thereto included in “Item 8. Financial Statements and Supplementary Data” of this report. This discussion includes forward-looking statements that are subject to risk and uncertainties. Actual results may differ substantially from the statements we make in this section due to a number of factors that are discussed in “Item 1A. Risk Factors” of this report.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 and analysis of matters pertaining to the year ended December 31, 2020 and year-to-year comparisons between the years ended December 31, 2021 and 2020 are not included in this Form 10-K, but can be found under Part II, Item 7 of our annual report on Form 10-K for the year ended December 31, 2021 that was filed with the SEC on February 18, 2022.</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“our,” the “Partnership” and “Energy Transfer” mean Energy Transfer LP and its consolidated subsidiaries.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activities in which we are engaged, which are in the United States, and the operating subsidiaries through which we conduct those activities are as follows:</w:t>
      </w:r>
    </w:p>
    <w:p>
      <w:pPr>
        <w:spacing w:after="0" w:line="54"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operations, including the following: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midstream and 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natural gas transportation and storage;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refined products transportation, terminalling services and acquisition and marketing activities, as well as NGL storage and fractionation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own investments in other businesses, including Sunoco LP and USAC, both of which are publicly traded master limited partnerships.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Transfer derives cash flows from distributions related to its investment in its subsidiaries, including Sunoco LP and USAC. The amount of cash that our subsidiaries distribute to us is based on earnings from their respective business activities and the amount of available cash. Energy Transfer’s primary cash requirements are for distributions to its partners, general and administrative expenses and debt service requirements. Energy Transfer distributes its available cash remaining after satisfaction of the aforementioned cash requirements to its Unitholders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subsidiaries to utilize their resources, along with cash from their operations, to fund their announced growth capital expenditures and working capital needs; however, Energy Transfer may issue debt or equity securities from time to time as we deem prudent to provide liquidity for new capital projects of our subsidiaries or for other partnership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increase the level of our distributable cash flow to our Unitholders over time by pursuing a business strategy that is currently focused on growing our subsidiaries’ natural gas and liquids businesses through, among other things, pursuing certain construction and expansion opportunities relating to our subsidiaries’ existing infrastructure and acquiring certain strategic operations and businesses or assets. The actual amounts of cash that we will have available for distribution will primarily depend on the amount of cash our subsidiaries generate from their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1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Woodford Express Acquisition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Energy Transfer completed the acquisition of 100% of the membership interests in Woodford Express, LLC, which owns a mid-continent gas gathering and processing system, for approximately $485 million plus working capital. The system, which is located in the heart of the SCOOP play, has 450 MMcf/d of cryogenic gas processing and treating capacity and over 200 miles of gathering lines, which are connected to Energy Transfer’s pipeline network. Woodford Express, LLC repaid aggregate principal of $292 million on its revolving credit facility and term loan on the closing date of the acquisition, which amount is included in the total consideration.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Canada Sale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2022, the Partnership completed the sale of its 51% interest in Energy Transfer Canada. The sale resulted in cash proceeds to Energy Transfer of $302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Spindletop Assets Purchase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Partnership purchased the membership interests in Caliche Coastal Holdings, LLC (subsequently renamed Energy Transfer Spindletop LLC), which owns an underground storage facility near Mont Belvieu, Texas, for approximately $325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Sunoco LP’s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30, 2022, Sunoco LP completed the acquisition of Peerless Oil &amp; Chemicals, Inc., an established terminal operator that distributes fuel products to over 100 locations within Puerto Rico and throughout the Caribbean, for $76 million, net of cash acquired.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2022, Sunoco LP completed the acquisition of a transmix processing and terminal facility in Huntington, Indiana for $252 million, net of cash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Update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Natural Gas Transportation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Rate Regulation</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without application of the FERC’s recent rate making-related policy statements and rulemakings, the FERC or our shippers may challenge the cost-of-service rates we charge. The FERC’s establishment of a just and reasonable rate is based on many components, including ROE and tax-related components, but also other pipeline costs that will continue to affect FERC’s determination of just and reasonable cost of service rates. Moreover, we receive revenues from our pipelines based on a variety of rate structures, including cost-of-service rates, negotiated rates, discounted rates and market-based rates. Many of our interstate pipelines, such as Tiger, Midcontinent Express and Fayetteville Express, have negotiated market rates that were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2018, the FERC issued a final rule establishing procedures to evaluate rates charged by the FERC-jurisdictional gas pipelines in light of the Tax Act and the FERC’s Revised Policy Statement. By an order issued January 16, 2019, the FERC initiated a review of Panhandle’s existing rates pursuant to Section 5 of the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order of the Chief Judge on October 1, 2019. The initial decision by the administrative law judge was issued on March 26, 2021. On April 26, 2021, Panhandle filed its brief on exceptions to the initial decision. On May 17, 2021, Panhandle filed its brief opposing exceptions in this proceeding. On December 16, 2022, the FERC issued its order on Panhandle’s rate case. On January 17, 2023, Panhandle filed its request for rehearing in the proceeding.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Pipeline Certification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On February 18, 2021, the FERC issued another NOI (“2021 NOI”), reopening its review of the 1999 Policy Statement. Comments on the 2021 NOI were due on May 26, 2021; we filed comments in the FERC proceeding. In September 2021, FERC issued a Notice of Technical Conference on Greenhouse Gas Mitigation related to natural gas infrastructure projects authorized under Sections 3 and 7 of the Natural Gas Act. A technical conference was held on November 19, 2021, and post-technical conference comments were submitted to the FERC on January 7, 2022.</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18, 2022, the FERC issued two new policy statements: (1) an Updated Policy Statement on the Certification of New Interstate Natural Gas Facilities and (2) a Policy Statement on the Consideration of Greenhouse Gas Emissions in Natural Gas Infrastructure Project Reviews (“2022 Policy Statements”), to be effective that same day. On March 24, 2022, the FERC issued an order designating the 2022 Policy Statements as draft policy statements, and requested further comments. The FERC will not apply the now draft 2022 Policy Statements to pending applications or applications to be filed at FERC until it issues any final guidance on these topics. Comments on the 2022 Policy Statements were due on April 25, 2022, and reply comments were due on May 25, 2022. We are unable to predict what, if any, changes may be proposed as a result of the 2022 Policy Statements that might affect our natural gas pipeline or LNG facility projects, or when such new policies, if any, might become effective. We do not expect that any change in these policy statements would affect us in a materially different manner than any other natural gas pipeline company operating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Common Carrier Regulation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2020, FERC issued an order establishing a new index of PPI-FG plus 0.78%.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to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have appealed the January 20 and May 6 orders. Such appeals remain pending at the D.C. Circuit.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20, 2022, the FERC issued a policy statement on the Standard Applied to Complaints Against Oil Pipeline Index Rate Changes to establish guidelines regarding how the FERC will evaluate shipper complaints against oil pipeline index rate increases. Specifically, the policy statement adopted the proposal in the FERC’s earlier Notice of Inquiry issued on March 25, 2020 to eliminate the “Substantially Exacerbate Test” as the preliminary screen applied to complaints against index 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increases and instead adopt the proposal to apply the “Percentage Comparison Test” as the preliminary screen for both protests and complaints against index rate increases.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Trends and Outlook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we believe the Partnership’s outlook is strong, as it has a stable business that has demonstrated its ability to manage through various market cycles. We expect future growth to be supported by production improvements, improved market conditions, and increased utilization of our existing assets, as well as strong domestic and international demand for our products.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anticipate that current and projected commodity prices and the related impact to activity levels in both the upstream and midstream sectors will continue to impact our business, we cannot predict the ultimate magnitude of that impact and expect it to be varied across our operations, depending on the region, customer, type of service, contract term and other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U.S. economy has experienced rising inflation in 2022, which has resulted in higher costs for labor, services, and materials. Our suppliers and customers also face inflationary pressures, and our throughput volumes may be impacted if producers are constrained. While the rate and scope of various inflationary factors may increase our operating costs and capital expenditures materially, we anticipate that any such impacts would be recoverable in the prices of our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Ultimately, the extent to which our business will be impacted by future market developments depends on factors beyond our control, which are highly uncertain and cannot be predicted. In response to the recent market volatility and uncertainties, we have reduced growth capital spending in recent years, and we expect to continue to maintain a prudent level of growth capital spending going forward. See “Liquidity and Capital Resources” for additional information on our capital expenditures over the last two years and our forecasted capital expenditures for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ample liquidity to fund our business, and we do not anticipate any liquidity concerns in the immediate future (see “Liquidity and Capital Resources”). In addition, we continue to have access to the debt capital markets on generally favorable terms. In the event we seek additional equity or debt capital, our blended cost of capital for equity and debt is expected to be modestly higher in the near term; however, we will continue to evaluate growth projects and acquisitions as such opportunities may be identified in the future in light of this higher cost of capital.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trends and outlook discussed above with respect to the Partnership’s existing business and finances, we also anticipate that the Partnership will continue to increase its focus on the development of alternative energy projects. The Partnership has announced several such projects recently and will continue to pursue opportunities aimed at continuing to reduce its environmental footprint throughout its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Adjusted EBITDA, as reported for each segment in the following table, is analyzed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interest rate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 (Sunoco LP)</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year ended December 31, 2022 compared to the prior year, net income decreased $819 million, or approximately 12%,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non-cash expenses, the most significant of which were a $347 million increase in depreciation, depletion and amortization and a $365 million increase in impairment losses and other. The changes in these non-cash items are discussed further below. The change in net income also reflects changes in Adjusted EBITDA, which are also discussed below.</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For the year ended December 31, 2022 compared to the prior year, Adjusted EBITDA increased $47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favorable results in multiple segments, the most significant of which were in our midstream segment, where Segment Adjusted EBITDA increased by $1.34 billion primarily due to favorable natural gas and NGL prices, increased production and the impacts of recent acquisitions. These increases were substantially offset by the impacts of Winter Storm Uri in February 2021, with the most significant impact in our intrastate transportation and storage segment.</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on changes impacting Adjusted EBITDA for the year ended December 31, 2022 compared to the prior year, including other impacts from Winter Storm Uri and other non-storm-related factors, is available in “Segment Operating Results.”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expense increased primarily due to additional depreciation from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placed in service and recent acquisitions.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Net of Interest Capitalized. </w:t>
      </w:r>
      <w:r>
        <w:rPr>
          <w:rFonts w:ascii="Times New Roman" w:cs="Times New Roman" w:eastAsia="Times New Roman" w:hAnsi="Times New Roman"/>
          <w:sz w:val="18"/>
          <w:szCs w:val="18"/>
          <w:color w:val="auto"/>
        </w:rPr>
        <w:t>Interest expense, net of interest capitalized, increased primarily due to the following:</w:t>
      </w:r>
    </w:p>
    <w:p>
      <w:pPr>
        <w:spacing w:after="0" w:line="119" w:lineRule="exact"/>
        <w:rPr>
          <w:sz w:val="20"/>
          <w:szCs w:val="20"/>
          <w:color w:val="auto"/>
        </w:rPr>
      </w:pPr>
    </w:p>
    <w:p>
      <w:pPr>
        <w:ind w:left="340" w:hanging="332"/>
        <w:spacing w:after="0" w:line="282" w:lineRule="auto"/>
        <w:tabs>
          <w:tab w:leader="none" w:pos="3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recognized by the Partnership (excluding Sunoco LP and USAC) increased by $12 million primarily due to higher weighted-average interest rates on long-term debt;</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recognized by Sunoco LP primarily due to an increase in average total long-term debt and an increase in the weighted-average interest rate on long-term debt; and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 million recognized by USAC primarily due to higher weighted-average interest rates and increased borrowings under its credit facility, partially offset by a decrease in amortization of debt issuance costs attributable to the amendment and restatement of its credit facility agreement in the prior comparable period.</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year ended December 31, 2022 compared to the same period last year, income tax expense increased due to recognition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valuation allowance adjustment for state net operating losses in a prior period.</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Impairment Losses and Other</w:t>
      </w:r>
      <w:r>
        <w:rPr>
          <w:rFonts w:ascii="Times New Roman" w:cs="Times New Roman" w:eastAsia="Times New Roman" w:hAnsi="Times New Roman"/>
          <w:sz w:val="18"/>
          <w:szCs w:val="18"/>
          <w:color w:val="auto"/>
        </w:rPr>
        <w:t>. For the year ended December 31, 2022, impairment losses and other included an $85 million loss on the deconsolidation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Transfer Canada, which was recorded upon the completion of the sale in August 2022. The amount also included a $300 million impairment related to Energy Transfer Canada’s assets recorded in March 2022 based on the anticipated proceeds from the expected sale of those assets. The remainder of the impairment losses were from USAC’s recognition of impairment losses related to its compression equipment.</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impairment losses included fixed asset impairments of $5 million recognized by USAC related to its compression equipment and $10 million recognized by Energy Transfer Canada related to a processing plant, as well as a $6 million impairment of intangible assets related to customer contracts within the Partnership’s crude operations.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Gains on Interest Rate Derivatives. </w:t>
      </w:r>
      <w:r>
        <w:rPr>
          <w:rFonts w:ascii="Times New Roman" w:cs="Times New Roman" w:eastAsia="Times New Roman" w:hAnsi="Times New Roman"/>
          <w:sz w:val="18"/>
          <w:szCs w:val="18"/>
          <w:color w:val="auto"/>
        </w:rPr>
        <w:t>Our interest rate derivatives are not designated as hedges for accounting purposes; therefore, changes in fair value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earnings each period. Gains on interest rate derivatives resulted from changes in forward interest rates, which caused our market value of our forward-starting swaps to increase in value, the effect of which was partially offset by a realized loss on the cash settlement of a portion of our these swaps.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Gains on Commodity Risk Management Activities. </w:t>
      </w:r>
      <w:r>
        <w:rPr>
          <w:rFonts w:ascii="Times New Roman" w:cs="Times New Roman" w:eastAsia="Times New Roman" w:hAnsi="Times New Roman"/>
          <w:sz w:val="18"/>
          <w:szCs w:val="18"/>
          <w:color w:val="auto"/>
        </w:rPr>
        <w:t>The unrealized gains and losses on our commodity risk management activities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14 to our consolidated financial statements included in “Item 8. Financial Statements and Supplementary Data.”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Valuation Adjustments. </w:t>
      </w:r>
      <w:r>
        <w:rPr>
          <w:rFonts w:ascii="Times New Roman" w:cs="Times New Roman" w:eastAsia="Times New Roman" w:hAnsi="Times New Roman"/>
          <w:sz w:val="18"/>
          <w:szCs w:val="18"/>
          <w:color w:val="auto"/>
        </w:rPr>
        <w:t>Inventory valuation adjustments represent changes in lower of cost or market using the last-in, first-out method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Sunoco LP’s inventory. These amounts are unrealized valuation adjustments applied to fuel volumes remaining in inventory at the end of the period. During the years ended December 31, 2022 and 2021, increases in fuel prices reduced lower of cost or market reserve requirements by $5 million and $190 million, respectively, resulting in favorable impacts to net income.</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Losses on Extinguishments of Debt. </w:t>
      </w:r>
      <w:r>
        <w:rPr>
          <w:rFonts w:ascii="Times New Roman" w:cs="Times New Roman" w:eastAsia="Times New Roman" w:hAnsi="Times New Roman"/>
          <w:sz w:val="18"/>
          <w:szCs w:val="18"/>
          <w:color w:val="auto"/>
        </w:rPr>
        <w:t>For the year ended December 31, 2021, the losses on extinguishments of debt was related to Sunoco LP’s repurchase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2026 senior notes in 2021, as well as the Partnership’s partial repayment of its Term Loan in April 2021 and repurchase of $900 million of 5.875% senior notes.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Related to Unconsolidated Affiliates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Equity in Earnings of Unconsolidated Affiliates. </w:t>
      </w:r>
      <w:r>
        <w:rPr>
          <w:rFonts w:ascii="Times New Roman" w:cs="Times New Roman" w:eastAsia="Times New Roman" w:hAnsi="Times New Roman"/>
          <w:sz w:val="18"/>
          <w:szCs w:val="18"/>
          <w:color w:val="auto"/>
        </w:rPr>
        <w:t>See additional information in “Supplemental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Unconsolidated Affiliates” and “Segment Operation Results”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Other, net primarily includes amortization of regulatory assets and other income and expense amounts.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Unconsolidated Affiliates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financial information related to unconsolidated affiliates: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earnings (losses) of unconsolidated affiliates: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White Cliffs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related to unconsolidated affiliates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Adjusted EBITDA related to unconsolidated affiliates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received from unconsolidated affiliates:</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distributions received from unconsolidated affiliates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2022, equity in earnings (losses) of unconsolidated affiliates includes the impact of non-cash impairments recorded by White Cliffs, which reduced the Partnership’s equity in earnings by $9 million.</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identify the components of Segment Adjusted EBITDA, which is calculated as follows:</w:t>
      </w:r>
    </w:p>
    <w:p>
      <w:pPr>
        <w:spacing w:after="0" w:line="115" w:lineRule="exact"/>
        <w:rPr>
          <w:sz w:val="20"/>
          <w:szCs w:val="20"/>
          <w:color w:val="auto"/>
        </w:rPr>
      </w:pPr>
    </w:p>
    <w:p>
      <w:pPr>
        <w:ind w:left="340" w:right="20" w:hanging="332"/>
        <w:spacing w:after="0" w:line="284"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Segment margin,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selling, general and administrative expenses</w:t>
      </w:r>
      <w:r>
        <w:rPr>
          <w:rFonts w:ascii="Times New Roman" w:cs="Times New Roman" w:eastAsia="Times New Roman" w:hAnsi="Times New Roman"/>
          <w:sz w:val="18"/>
          <w:szCs w:val="18"/>
          <w:color w:val="auto"/>
        </w:rPr>
        <w:t>. These amounts represent the amounts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that are attributable to each segment.</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Unrealized gains or losses on commodity risk management activities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inventory valuation adjustments</w:t>
      </w:r>
      <w:r>
        <w:rPr>
          <w:rFonts w:ascii="Times New Roman" w:cs="Times New Roman" w:eastAsia="Times New Roman" w:hAnsi="Times New Roman"/>
          <w:sz w:val="18"/>
          <w:szCs w:val="18"/>
          <w:color w:val="auto"/>
        </w:rPr>
        <w:t>. These are the unrealized amounts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7"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Non-cash compensation expense</w:t>
      </w:r>
      <w:r>
        <w:rPr>
          <w:rFonts w:ascii="Times New Roman" w:cs="Times New Roman" w:eastAsia="Times New Roman" w:hAnsi="Times New Roman"/>
          <w:sz w:val="18"/>
          <w:szCs w:val="18"/>
          <w:color w:val="auto"/>
        </w:rPr>
        <w:t>. These amounts represent the total non-cash compensation recorded in operating expenses and selling,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related to equity awards. This expense is not included in Segment Adjusted EBITDA and therefore is added back to calculate the segment measure.</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related to unconsolidated affiliates</w:t>
      </w:r>
      <w:r>
        <w:rPr>
          <w:rFonts w:ascii="Times New Roman" w:cs="Times New Roman" w:eastAsia="Times New Roman" w:hAnsi="Times New Roman"/>
          <w:sz w:val="18"/>
          <w:szCs w:val="18"/>
          <w:color w:val="auto"/>
        </w:rPr>
        <w:t>. Adjusted EBITDA related to unconsolidated affiliates excludes the same items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 certain segments, the following sections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Winter Storm Impacts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Winter Storm Uri, which occurred in February 2021, resulted in one-time impacts to the Partnership’s Adjusted EBITDA and also affected the results of operations in certain segments. The recognition of the impacts of Winter Storm Uri during 2021 required management to make certain estimates and assumptions, including estimates of expected credit losses and assumptions related to the resolution of disputes with counterparties with respect to certain purchases and sales of natural gas. The ultimate realization of credit losses and the resolution of disputed purchases and sales of natural gas could materially impact the Partnership’s financial condition and results of operations in future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business segments, see “Item 1. Business” and Notes 1 and 16 to our consolidated financial statements in “Item 8. Financial Statements and Supplementary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Intrastate Transportation and Storage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storage natural gas inventory (BBtu)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2022 compared to the prior year, transported volumes increased primarily due to the acquisition of the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Oklahoma Intrastate Transmission system, as well as increased production in the Permian Basin and Haynesville Shale.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Margin</w:t>
      </w:r>
      <w:r>
        <w:rPr>
          <w:rFonts w:ascii="Times New Roman" w:cs="Times New Roman" w:eastAsia="Times New Roman" w:hAnsi="Times New Roman"/>
          <w:sz w:val="18"/>
          <w:szCs w:val="18"/>
          <w:color w:val="auto"/>
        </w:rPr>
        <w:t>. The components of our intrastate transportation and storage segment margin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fees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30"/>
        </w:trPr>
        <w:tc>
          <w:tcPr>
            <w:tcW w:w="6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margin</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our intrastate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storage segment decreased due to the net impacts of the following:</w:t>
      </w:r>
    </w:p>
    <w:p>
      <w:pPr>
        <w:spacing w:after="0" w:line="52" w:lineRule="exact"/>
        <w:rPr>
          <w:sz w:val="20"/>
          <w:szCs w:val="20"/>
          <w:color w:val="auto"/>
        </w:rPr>
      </w:pPr>
    </w:p>
    <w:p>
      <w:pPr>
        <w:ind w:left="34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$1.47 billion in realized storage margin primarily due to higher physical storage margin from withdrawals during Winter Storm Uri in the prior period;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$628 million in realized natural gas sales and other primarily due to natural gas sales at prevailing market prices during Winter Storm Uri in the prior period;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$66 million in operating expenses primarily due to a $31 million increase from expenses related to the addition of Enable, a $19 million increase in cost of fuel consumption from higher gas prices, a $10 million increase in ad valorem tax expense and a $7 million increase in utilities expense;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in selling, general and administrative expenses primarily due to the addition of Enable and higher legal expenses; partially offset by</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$88 million in transportation fees primarily due to fees on the recently acquired Enable Oklahoma Intrastate Transmission system, partially offset by fees related to Winter Storm Uri in the prior period;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in retained fuel revenues related to natural gas prices.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176"/>
        </w:trPr>
        <w:tc>
          <w:tcPr>
            <w:tcW w:w="6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expenses, excluding non-cash compensation, amortization, accretion and other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accretion expenses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2022 compared to the prior year, transported volumes increased primarily due to the impact of the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higher utilization on our Tiger system due to increased production in the Haynesville Shale and higher volumes on our Panhandle and Trunkline systems due to increased demand.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our interstate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storage segment increased due to the net impacts of the following:</w:t>
      </w:r>
    </w:p>
    <w:p>
      <w:pPr>
        <w:spacing w:after="0" w:line="52" w:lineRule="exact"/>
        <w:rPr>
          <w:sz w:val="20"/>
          <w:szCs w:val="20"/>
          <w:color w:val="auto"/>
        </w:rPr>
      </w:pPr>
    </w:p>
    <w:p>
      <w:pPr>
        <w:jc w:val="both"/>
        <w:ind w:left="340" w:hanging="332"/>
        <w:spacing w:after="0" w:line="256"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$396 million in segment margin primarily due to a $433 million increase from recently acquired assets, a $93 million increase in transportation revenue from several of our interstate pipeline systems due to higher contracted volumes and higher rates, and a $13 million increase in parking revenue. These increases were partially offset by a $63 million decrease from operational gas sales recorded in the prior period, a $34 million decrease in reservation fees resulting from shipper contract expirations and a shipper bankruptcy during the prior period, a $32 million decrease due to lower rates on our Panhandle system resulting from developments in an ongoing rate case and a $15 million decrease due to a shipper bankruptcy on our Rover system;</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$61 million in Adjusted EBITDA related to unconsolidated affiliates primarily due to a $34 million increase from recently acquired assets, a $26 million increase from our Midcontinent Express Pipeline joint venture as a result of higher revenue due to capacity sold at higher rates, and a $1 million increase from our Fayetteville Express Pipeline joint venture due to lower expenses;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$40 million in other Adjusted EBITDA primarily due to the realization in the current period of certain amounts related to shipper bankruptcies that occurred in a prior period; partially offset by</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$211 million in operating expenses primarily due to a $182 million increase from recently acquired assets, a $17 million increase in employee and other direct expenses, and a $10 million increase in maintenance project costs;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$48 million in selling, general and administrative expenses primarily due to recently acquired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2022 compared to the prior year, gathered volumes and NGL production increased due to increases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Margin</w:t>
      </w:r>
      <w:r>
        <w:rPr>
          <w:rFonts w:ascii="Times New Roman" w:cs="Times New Roman" w:eastAsia="Times New Roman" w:hAnsi="Times New Roman"/>
          <w:sz w:val="18"/>
          <w:szCs w:val="18"/>
          <w:color w:val="auto"/>
        </w:rPr>
        <w:t>. The following table presents the components of our midstream segment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and processing fee-based revenues</w:t>
            </w:r>
          </w:p>
        </w:tc>
        <w:tc>
          <w:tcPr>
            <w:tcW w:w="18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Non-fee-based contracts and processing</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1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segment margin</w:t>
            </w:r>
          </w:p>
        </w:tc>
        <w:tc>
          <w:tcPr>
            <w:tcW w:w="18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our midstream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due to the net impacts of the following:</w:t>
      </w:r>
    </w:p>
    <w:p>
      <w:pPr>
        <w:spacing w:after="0" w:line="52"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$177 million in non-fee-based margin due to favorable natural gas prices of $64 million and NGL prices of $113 million;</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$464 million in non-fee-based margin due to recent acquisitions, as well as increased production in the South Texas, Northeast and Permian regions;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$143 million in non-fee-based margin due to the impacts of Winter Storm Uri in the prior period;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$898 million in fee-based margin due to recent acquisitions, as well as increased throughput in the South Texas, Northeast and Permian regions;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in other primarily due to the realization in the current period of certain amounts related to a shipper bankruptcy that occurred in a prior period; partially offset by</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$309 million in operating expenses primarily due to $210 million in incremental operating expenses from recent acquisitions, a $52 million increase from pricing increases in labor, materials and utilities, a $16 million increase in project-related costs and environmental remediation, and a $20 million increase in employee costs and allocated expenses;</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$60 million in selling, general and administrative expenses primarily due to a $35 million increase from the impact of recent acquisitions, an $18 million increase in insurance costs and a $7 million increase in legal fees;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 million in Adjusted EBITDA related to unconsolidated affiliates due to the sale of the Partnership’s membership interest in Ranch Westex JV LLC in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transportation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refined products terminal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 fractionation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r>
      <w:tr>
        <w:trPr>
          <w:trHeight w:val="22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2022 compared to the prior year, NGL transportation volumes increased primarily due to higher volumes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Permian and Eagle Ford regions and higher volumes on our export pipelines into our Nederland Terminal.</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Refined products transportation volumes increased for the year ended December 31, 2022 compared to prior year due to due to recovery from COVID-19 related demand reduction in the prior period.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and refined products terminal volumes increased for the year ended December 31, 2022 compared to the prior year primarily due to higher volumes on our export pipelines into our Nederland Terminal and refined product demand recovery.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fractionated volumes at our Mont Belvieu, Texas fractionation facility increased for the year ended December 31, 2022 compared to the prior year primarily due to increased production to our system, primarily from the Permian and Eagle Ford regions.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Margin</w:t>
      </w:r>
      <w:r>
        <w:rPr>
          <w:rFonts w:ascii="Times New Roman" w:cs="Times New Roman" w:eastAsia="Times New Roman" w:hAnsi="Times New Roman"/>
          <w:sz w:val="18"/>
          <w:szCs w:val="18"/>
          <w:color w:val="auto"/>
        </w:rPr>
        <w:t>. The components of our NGL and refined products transportation and services segment margin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Fractionators and refinery services margin</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Terminal Services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our NGL and refined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transportation and services segment increased due to the net impacts of the following:</w:t>
      </w:r>
    </w:p>
    <w:p>
      <w:pPr>
        <w:spacing w:after="0" w:line="52" w:lineRule="exact"/>
        <w:rPr>
          <w:sz w:val="20"/>
          <w:szCs w:val="20"/>
          <w:color w:val="auto"/>
        </w:rPr>
      </w:pPr>
    </w:p>
    <w:p>
      <w:pPr>
        <w:jc w:val="both"/>
        <w:ind w:left="340" w:hanging="332"/>
        <w:spacing w:after="0" w:line="261"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$138 million in fractionators and refinery services margin primarily due to a $151 million increase from higher volumes and higher rates driven by contractual rate escalations tied to broader economic inflationary measures, increased utilization of our ethane optimization strategy in 2022 and a $17 million intrasegment charge which is fully offset in our transportation margin. These increases were partially offset by a $30 million decrease from a less favorable pricing environment impacting our refinery services business;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$110 million in transportation margin primarily due to a $193 million increase resulting from higher y-grade throughput and higher rates driven by contractual rate escalations tied to broader economic inflationary measures on our Texas pipeline system, a $12 million increase from higher exported volumes feeding into our Nederland Terminal, a $9 million increase from the timing of third-party deficiency payments on our northeast pipelines and a $4 million increase resulting from higher throughput on our Mariner East pipeline. These increases were partially offset by intrasegment charges of $68 million and $17 million which are fully offset within our marketing and fractionators margins, respectively, and a $24 million decrease resulting from lower throughput on our Mariner West pipeline due to customer maintenance in 2022;</w:t>
      </w:r>
    </w:p>
    <w:p>
      <w:pPr>
        <w:spacing w:after="0" w:line="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$74 million in marketing margin primarily due to a reduction in intrasegment charges of $68 million which are fully offset within our transportation margin, as well as higher gains of $6 million from the optimization of NGL and refined product inventories;</w:t>
      </w:r>
    </w:p>
    <w:p>
      <w:pPr>
        <w:spacing w:after="0" w:line="5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$57 million in terminal services margin primarily due to a $41 million increase from higher export volumes loaded at our Nederland Terminal, a $13 million increase from higher throughput at our Marcus Hook Terminal and a $3 million increase from our refined products terminals; and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storage margin primarily due to fees generated from exported volumes; partially offset by</w:t>
      </w:r>
    </w:p>
    <w:p>
      <w:pPr>
        <w:spacing w:after="0" w:line="117"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$178 million in operating expenses due to a $121 million increase in gas and power utility costs, a $20 million increase in ad valorem taxes, a $10 million increase from maintenance project costs, an $8 million increase in employee costs, and increases totaling $19 million from various other operating expenses;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in selling, general and administrative expenses primarily due to a $10 million increase in overhead expenses allocated to the segment and a $4 million increase in direct employee related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terminals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r>
      <w:tr>
        <w:trPr>
          <w:trHeight w:val="22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2022 compared to the prior year, crude transportation volumes were higher primarily due to increases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pipeline systems, as well as the addition of Oklahoma and Bakken gathering assets through the Enable Acquisition. Volumes on our Bayou Bridge pipeline were higher primarily due to increased crude supply from Strategic Petroleum Reserve releases during 2022. Additionally, volumes benefited from assets placed into service, primarily Cushing South in April 2022 and the Ted Collins Link in June 2021. Volumes on our Bakken Pipeline were higher for the year ended December 31, 2022 primarily due to increased volumes from new and existing customers. Crude terminal volumes were higher due to Strategic Petroleum Reserve releases increasing throughput and export activity at our Gulf Coast terminals.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our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services segment increased due to the net impacts of the following:</w:t>
      </w:r>
    </w:p>
    <w:p>
      <w:pPr>
        <w:spacing w:after="0" w:line="52" w:lineRule="exact"/>
        <w:rPr>
          <w:sz w:val="20"/>
          <w:szCs w:val="20"/>
          <w:color w:val="auto"/>
        </w:rPr>
      </w:pPr>
    </w:p>
    <w:p>
      <w:pPr>
        <w:jc w:val="both"/>
        <w:ind w:left="340" w:hanging="332"/>
        <w:spacing w:after="0" w:line="255"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$368 million in segment margin (excluding unrealized gains and losses on commodity risk management activities) primarily due to a $173 million increase due to higher volumes on our Bakken Pipeline, an $80 million increase related to assets acquired in 2021, a $78 million increase in throughput at our Gulf Coast terminals due to Strategic Petroleum Reserve volumes, stronger refinery utilization and higher export demand, a $57 million increase from our Texas crude pipeline system due to higher volumes and a $17 million increase due to higher volumes on our Bayou Bridge pipeline, partially offset by a $7 million decrease on other crude pipelines from lower volumes, and a $30 million decrease from our crude oil acquisition and marketing business primarily due to less favorable pricing conditions impacting our trading operations and unfavorable inventory valuation adjustments from crude oil prices; partially offset by</w:t>
      </w:r>
    </w:p>
    <w:p>
      <w:pPr>
        <w:spacing w:after="0" w:line="8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$98 million in operating expenses primarily due to $32 million in higher volume-driven expenses, $31 million in higher project expenses and $17 million from expenses related to assets acquired in 2021;</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$89 million in selling, general and administrative expenses primarily due to the net impact of the resolution of two legal matters;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 million in Adjusted EBITDA related to unconsolidated affiliates due to the consolidation of certain operations that were previously reflected in unconsolidated affiliates.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Sunoco LP</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Sunoco LP segment reflects the consolidated results of Sunoco 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related to the Investment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 segment increased due to the net impacts of the following:</w:t>
      </w:r>
    </w:p>
    <w:p>
      <w:pPr>
        <w:spacing w:after="0" w:line="99" w:lineRule="exact"/>
        <w:rPr>
          <w:sz w:val="20"/>
          <w:szCs w:val="20"/>
          <w:color w:val="auto"/>
        </w:rPr>
      </w:pPr>
    </w:p>
    <w:p>
      <w:pPr>
        <w:ind w:left="340" w:hanging="332"/>
        <w:spacing w:after="0" w:line="282" w:lineRule="auto"/>
        <w:tabs>
          <w:tab w:leader="none" w:pos="3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profit on motor fuel sales of $178 million, primarily due to a 14.2% increase in profit per gallon sold and a 2.3% increase in gallons sold; and</w:t>
      </w:r>
    </w:p>
    <w:p>
      <w:pPr>
        <w:spacing w:after="0" w:line="5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non-motor fuel profit of $70 million, primarily due to an increase in storage tanks and terminals profit in 2022. This increase was primarily a result of the 2021 fourth quarter acquisition of refined product terminals. In addition, increased credit card transactions and merchandise gross profit contributed $15 million to the overall increase; partially offset by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costs of $85 million, primarily due to higher costs as a result of the recent acquisitions, higher employee costs, credit card processing fees, advertising costs, legal costs, insurance costs and maintenance costs.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USAC</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USAC segment reflects the consolidated results of USAC.</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last year, Segment Adjusted EBITDA related to our investment in USAC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due to the net impacts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$46 million in segment margin primarily due to an increase in contract operations revenue which was primarily the result of Consumer Price Index-based and other price increases on customer contracts that occur as market conditions permit, and higher revenue generating horsepower; partially offset by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operating expenses primarily due to higher employee costs, an increase in retail parts and service expenses, an increase in vehicle fleet expenses primarily due to increased fuel costs and increased usage as well as higher costs of maintenance during the current period, and sales tax refunds received in the prior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marketing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natural gas compression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coal handling facilities;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Canadian operations, until those assets were divested in August 2022.</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2022 compared to the prior year, Segment Adjusted EBITDA was unchanged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net impacts of the following:</w:t>
      </w:r>
    </w:p>
    <w:p>
      <w:pPr>
        <w:spacing w:after="0" w:line="52"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$30 million due to higher merger and acquisition expense in the prior period;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 million due to higher franchise and sales taxes in the prior period;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 million due to a favorable environment for physical gas trading and storage activities;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due to higher coal royalties at our natural resources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due to a favorable environment for our power trading activities;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in ad valorem taxes; offset by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$68 million due to gains in the prior period related to Winter Storm Uri;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$35 million due to the sale of Energy Transfer Canada.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satisfy our obligations and pay distributions to Unitholders will depend on our future performance, which will be subject to prevailing economic, financial, business and weather conditions, and other factors, many of which are beyond management’s control. The significant trends and uncertainties that we currently believe could significantly impact our liquidity and cash flows going forward are discussed in “Trends and Outlook” above.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liquidity and sources of funding to meet our cash requirements over the near term and for the longer term. We expect to satisfy our working capital needs through cash generated by our operations. As of December 31, 2022, we had cash and cash equivalents of $257 million and availability under our revolving credit facility of $4.18 billion.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material contractual obligations include long-term debt service, payments under operating leases and purchase commitments. The Partnership’s obligations under its long-term debt agreements are described below under “Description of Indebtedness,” and information on the maturities and interest rates related to the Partnership’s long-term debt is available in Note 6 to the consolidated financial statements in “Item 8. Financial Statements and Supplementary Data.” In addition, information on the Partnership’s obligations under its lease arrangements is included in Note 13 to the consolidated financial statements in Item 8.</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 purchase commitment as an agreement to purchase goods or services that is enforceable and legally binding (unconditional) on us that specifies all significant terms, including: fixed or minimum quantities to be purchased; fixed,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minimum or variable price provisions; and the approximate timing of the transactions. We have long and short-term product purchase obligations for commodities with third-party suppliers. These purchase obligations are entered into at either variable or fixed prices. The purchase prices that we are obligated to pay under variable price contracts approximate market prices at the time we take delivery of the volumes. The purchase prices that we are obligated to pay under fixed price contracts are established at the inception of the contract. We have material purchase commitments for crude oil; as of December 31, 2022, those purchase commitments totaled an estimated $39.65 billion (of which $16.17 billion would be due in 2023) based on either the current market price for variable price contracts or the contracted price for fixed price contracts.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expect capital expenditures in 2023 to be within the following ranges (excluding capital expenditures related to our investments in Sunoco LP and USAC):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Growth</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Maintenance</w:t>
            </w:r>
          </w:p>
        </w:tc>
        <w:tc>
          <w:tcPr>
            <w:tcW w:w="96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NGL and refined products transportation and services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transportation and services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hanging="332"/>
        <w:spacing w:after="0" w:line="229" w:lineRule="auto"/>
        <w:tabs>
          <w:tab w:leader="none" w:pos="328"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capital expenditures related to the Partnership’s proportionate ownership of the Bakken, Rover and Bayou Bridge pipeline joint ventures, as well as the Orbit Gulf Coast NGL Exports joint venture.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fund maintenance capital expenditures and distributions with cash flows from operating activities. We generally expect to funds growth capital expenditures with proceeds of borrowings under our credit facilities, along with cash from operations.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Sunoco LP expects to invest at least $60 million in growth capital expenditures and approximately $150 million in maintenance capital expenditures in 2023.</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USAC currently plans to spend approximately $26 million in maintenance capital expenditures and currently has budgeted between $260 million and $270 million in expansion capital expenditures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may change in the future due to a number of factors, some of which we cannot control. These include regulatory changes, the price of our products and services, the demand for such products and services, margin requirements resulting from significant changes in commodity prices, operational risks, the successful integration of our acquisitions,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acquisitions of assets, while changes in non-cash compensation expense resulted from changes in the number of units granted and changes in the grant date fair value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Energy Transfer has a significant amount of interstate pipeline construction in progress. Changes in operating assets and liabilities between periods result from factors such as the changes in the value of derivative assets and liabilities, timing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collection, payments on accounts payable, the timing of purchases and sales of inventories, and the timing of advances and deposits received from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operating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Cash provided by operating activities in 2022 was $9.05 billion and net income was $5.87 billion. The difference between net income and cash provided by operating activities in 2022 primarily consisted of non-cash items totaling $4.53 billion offset by net changes in operating assets and liabilities of $1.50 billion. The non-cash activity in 2022 consisted primarily of depreciation, depletion and amortization of $4.16 billion, impairment losses of $386 million, non-cash compensation expense of $115 million, equity in earnings of unconsolidated affiliates of $257 million, inventory valuation adjustments of $5 million, and deferred income taxes of $187 million. The Partnership also received distributions of $232 million from unconsolidated affiliates.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 2021 was $11.16 billion and net income was $6.69 billion. The difference between net income and cash provided by operating activities in 2021 primarily consisted of non-cash items totaling $3.80 billion offset by net changes in operating assets and liabilities of $515 million. The non-cash activity in 2021 consisted primarily of depreciation, depletion and amortization of $3.82 billion, impairment losses of $21 million, non-cash compensation expense of $111 million, equity in earnings of unconsolidated affiliates of $246 million, inventory valuation adjustments of $190 million, losses on extinguishment of debt of $38 million, and deferred income taxes of $141 million. The Partnership also received distributions of $212 million from unconsolidated affiliates.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primarily consist of cash amounts paid for acquisitions, capital expenditures, cash distributions from our joint ventures, and cash proceeds from sales or contributions of assets or businesses. Changes in capital expenditures between periods primarily result from increases or decreases in our growth capital expenditures to fund our construction and expansion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investing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2022 was $4.02 billion. Total capital expenditures (excluding the allowance for equity funds used during construction and net of contributions in aid of construction costs) were $3.33 billion. Additional detail related to our capital expenditures is provided in the following table. We received $78 million of cash proceeds from the sale of assets. The Partnership also received distributions of $62 million from unconsolidated affiliates. In 2022, we paid $1.14 billion in cash for acquisitions, net of cash received. In 2022, we received $302 million in cash from the sale of our interest in Energy Transfer Canada.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2021 was $2.78 billion. Total capital expenditures (excluding the allowance for equity funds used during construction and net of contributions in aid of construction costs) were $2.78 billion. Additional detail related to our capital expenditures is provided in the following table. We received $45 million of cash proceeds from the sale of assets. The Partnership also received distributions of $167 million from unconsolidated affiliates. In 2021, we paid $205 million in cash for acquisitions, net of cash received.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Partnership’s capital expenditures (including only our proportionate share of the Bakken, Rover, Bayou Bridge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Orbit Gulf Coast NGL Exports joint ventures, net of contributions in aid of construction costs) by period: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Capital Expenditures Recorded During Period</w:t>
            </w:r>
          </w:p>
        </w:tc>
        <w:tc>
          <w:tcPr>
            <w:tcW w:w="0" w:type="dxa"/>
            <w:vAlign w:val="bottom"/>
          </w:tcPr>
          <w:p>
            <w:pPr>
              <w:spacing w:after="0"/>
              <w:rPr>
                <w:sz w:val="1"/>
                <w:szCs w:val="1"/>
                <w:color w:val="auto"/>
              </w:rPr>
            </w:pPr>
          </w:p>
        </w:tc>
      </w:tr>
      <w:tr>
        <w:trPr>
          <w:trHeight w:val="250"/>
        </w:trPr>
        <w:tc>
          <w:tcPr>
            <w:tcW w:w="6700" w:type="dxa"/>
            <w:vAlign w:val="bottom"/>
            <w:vMerge w:val="restart"/>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Growth</w:t>
            </w: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Maintenance</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Sunoco LP</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3950"/>
              <w:spacing w:after="0"/>
              <w:rPr>
                <w:sz w:val="20"/>
                <w:szCs w:val="20"/>
                <w:color w:val="auto"/>
              </w:rPr>
            </w:pPr>
            <w:r>
              <w:rPr>
                <w:rFonts w:ascii="Times New Roman" w:cs="Times New Roman" w:eastAsia="Times New Roman" w:hAnsi="Times New Roman"/>
                <w:sz w:val="18"/>
                <w:szCs w:val="18"/>
                <w:color w:val="auto"/>
                <w:w w:val="99"/>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Sunoco LP</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3950"/>
              <w:spacing w:after="0"/>
              <w:rPr>
                <w:sz w:val="20"/>
                <w:szCs w:val="20"/>
                <w:color w:val="auto"/>
              </w:rPr>
            </w:pPr>
            <w:r>
              <w:rPr>
                <w:rFonts w:ascii="Times New Roman" w:cs="Times New Roman" w:eastAsia="Times New Roman" w:hAnsi="Times New Roman"/>
                <w:sz w:val="18"/>
                <w:szCs w:val="18"/>
                <w:color w:val="auto"/>
                <w:w w:val="99"/>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to partners increased between the periods as a result of increases in the number of common units outstanding or increases in the distribution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financing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$5.11 billion in 2022. In 2022, we had a net decrease in our debt level of $843 million. During 2022, we paid distributions of $3.05 billion to our partners, we paid distributions of $1.55 billion to noncontrolling interests, and we paid distributions of $49 million to our redeemable noncontrolling interests. In addition, we received capital contributions of $405 million in cash from noncontrolling interests. During 2022, we incurred debt issuance costs of $27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$8.42 billion in 2021. In 2021, we had a net decrease in our debt level of $6.05 billion. During 2021, we paid distributions of $1.90 billion to our partners, we paid distributions of $1.49 billion to noncontrolling interests, and we paid distributions of $49 million to our redeemable noncontrolling interests. In addition, we received capital contributions of $226 million in cash from noncontrolling interests. During 2021, we incurred debt issuance costs of $14 million. During 2021, we received $889 million from the issuance of preferred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Indebtedness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outstanding consolidated indebtedness was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Energy Transfer Indebtedness: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82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Notes and Debentures</w:t>
            </w:r>
            <w:r>
              <w:rPr>
                <w:rFonts w:ascii="Times New Roman" w:cs="Times New Roman" w:eastAsia="Times New Roman" w:hAnsi="Times New Roman"/>
                <w:sz w:val="23"/>
                <w:szCs w:val="23"/>
                <w:color w:val="auto"/>
                <w:vertAlign w:val="superscript"/>
              </w:rPr>
              <w:t>(1)(2)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Five-Year Credit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Indebtedness: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Transwestern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Panhandle Notes and Debentures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Bakken Senior Notes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Sunoco LP Senior Notes and lease-related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USAC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HFOTCO Tax Exempt Notes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Sunoco LP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USAC Credit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Energy Transfer Canada facilities</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0"/>
        </w:trPr>
        <w:tc>
          <w:tcPr>
            <w:tcW w:w="826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unamortized premiums, discounts and fair value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2022, this balance included a total of $3.25 billion aggregate principal amount of senior notes due on or before December 31, 2023 which were classified as long-term as management has the intent and ability to refinance the borrowings on a long-term basis.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November 2022, Energy Transfer and Panhandle completed an internal reorganization which resulted in Energy Transfer assuming all of Panhandle’s $235 million outstanding principal amount of notes and debentures. The transaction did not impact the Partnership’s consolidated long-term debt.</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2021, this balance included $650 million of 3.625% Senior Notes due April 2022 included in current maturities of long-term debt. These notes were repaid in April 2022.</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86"/>
        </w:numPr>
        <w:rPr>
          <w:rFonts w:ascii="Times New Roman" w:cs="Times New Roman" w:eastAsia="Times New Roman" w:hAnsi="Times New Roman"/>
          <w:sz w:val="23"/>
          <w:szCs w:val="23"/>
          <w:color w:val="212529"/>
          <w:vertAlign w:val="superscript"/>
        </w:rPr>
      </w:pPr>
      <w:r>
        <w:rPr>
          <w:rFonts w:ascii="Times New Roman" w:cs="Times New Roman" w:eastAsia="Times New Roman" w:hAnsi="Times New Roman"/>
          <w:sz w:val="18"/>
          <w:szCs w:val="18"/>
          <w:color w:val="auto"/>
        </w:rPr>
        <w:t>These facilities were included in the August 2022 Energy Transfer Canada divestiture as discussed in “Recent Developments” above.</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of our consolidated indebtedness and that of our subsidiaries are described in more detail below and in Note 6 to our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 Recent Transactions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February 2022, the Partnership redeemed $300 million aggregate principal amount of its 4.65% Senior Notes due February 2022 with proceeds from its Five-Year Credit Facility.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2022, Dakota Access redeemed $650 million aggregate principal amount of its 3.625% Senior Notes due April 2022 using proceeds from contributions made by its members. The Partnership indirectly owns 36.4% of the ownership interests in Dakota Access.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August 2022, the Partnership exercised its par call option and fully redeemed $700 million aggregate principal amount of its 5.00% Senior Notes due October 2022 with proceeds from its Five-Year Credit Facility.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2022, the Partnership issued $1.00 billion aggregate principal amount of 5.55% Senior Notes due February 2028 and $1.50 billion aggregate principal amount of 5.75% Senior Notes due February 2033.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Partnership redeemed $350 million aggregate principal amount of its 3.45% Senior Notes due January 2023 and $800 million aggregate principal amount of its 3.60% Senior Notes due February 2023 with proceeds from its Five-Year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Commercial Paper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Five-Year Credit Facility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Partnership’s Five-Year Credit Facility allows for unsecured borrowings up to $5.00 billion and matures on April 11, 2027. The Five-Year Credit Facility contains an accordion feature, under which the total aggregate commitment may be increased up to $7.00 billion under certain conditions.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the Five-Year Credit Facility had $793 million of outstanding borrowings, of which $750 million consisted of commercial paper. The amount available for future borrowings was $4.18 billion, after accounting for outstanding letters of credit in the amount of $32 million. The weighted average interest rate on the total amount outstanding as of December 31, 2022 was 5.12%.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Sunoco LP Credit Facility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Sunoco LP Credit Facility had $900 million of outstanding borrowings and $7 million in standby letters of credit and matures in July 2023. The amount available for future borrowings was $593 million at December 31, 2022. The weighted average interest rate on the total amount outstanding as of December 31, 2022 was 6.17%.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USAC Credit Facility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USAC had $646 million of outstanding borrowings and no outstanding letters of credit under the credit agreement. As of December 31, 2022, USAC had $954 million of availability under its credit facility, and subject to compliance with applicable financial covenants, available borrowing capacity of $333 million. The weighted average interest rate on the total amount outstanding as of December 31, 2022 was 6.84%.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Our Credit Agreements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relating to the Senior Notes contain restrictive covenants customary for an issuer with an investment-grade rating from the rating agencies, which covenants include limitations on liens and a restriction on sale-leaseback transactions.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Five-Year Credit Facility contains covenants that limit (subject to certain exceptions) the Partnership’s and certain of the Partnership’s subsidiaries’ ability to, among other things:</w:t>
      </w:r>
    </w:p>
    <w:p>
      <w:pPr>
        <w:spacing w:after="0" w:line="54"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(as defined in the Five-Year Credit Facility) during certain Defaults (as defined in the Five-Year Credit Facility) and during any Event of Default (as defined in the Five-Year Credit Facility);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substantially different in nature than the business currently conducted by the Partnership and its subsidiaries;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agreements.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margin and rate used in connection with the interest rates and commitment fees, respectively, are based on the credit ratings assigned to our senior, unsecured, non-credit enhanced long-term debt. The applicable margin for eurodollar rate loans under the Five-Year Credit Facility ranges from 1.125% to 2.000% and the applicable margin for base rate loans ranges from 0.125% to 1.000%. The applicable rate for commitment fees under the Five-Year Credit Facility ranges from 0.125% to 0.300%.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Credit Facility contains various covenants including limitations on the creation of indebtedness and liens and related to the operation and conduct of our business. The Five-Year Credit Facility also limits us, on a rolling four quarter basis, to a maximum Consolidated Funded Indebtedness to Consolidated EBITDA ratio, as defined in the underlying credit agreement, of 5.00 to 1.00, which can generally be increased to 5.50 to 1.00 during a Specified Acquisition Period. Our Leverage Ratio was 3.32 to 1.00 at December 31, 2022, as calculated in accordance with the credit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Transwestern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Sunoco LP</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specified net leverage ratio and interest coverage ratio.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USAC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guarantee other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our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USAC Credit Facility is also subject to the following financial covenants, including covenants requiring USAC to maintain:</w:t>
      </w:r>
    </w:p>
    <w:p>
      <w:pPr>
        <w:spacing w:after="0" w:line="117"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EBITDA to interest coverage ratio;</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secured indebtedness to EBITDA within a specified range;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funded debt to EBITDA ratio.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Covenants Related to the HFOTCO Tax Exempt Notes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our Covenants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subsidiaries were in compliance with all requirements, tests, limitations, and covenants related to our debt agreements as of December 31,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 Paid by Energy Transfer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its Partnership Agreement, Energy Transfer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that is necessary or appropriate to provide for future cash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Common Unit 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and paid with respect to Energy Transfer common units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Quarter Ended</w:t>
            </w:r>
          </w:p>
        </w:tc>
        <w:tc>
          <w:tcPr>
            <w:tcW w:w="27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Record Date</w:t>
            </w:r>
          </w:p>
        </w:tc>
        <w:tc>
          <w:tcPr>
            <w:tcW w:w="2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Payment Date</w:t>
            </w:r>
          </w:p>
        </w:tc>
        <w:tc>
          <w:tcPr>
            <w:tcW w:w="620" w:type="dxa"/>
            <w:vAlign w:val="bottom"/>
          </w:tcPr>
          <w:p>
            <w:pPr>
              <w:spacing w:after="0"/>
              <w:rPr>
                <w:sz w:val="20"/>
                <w:szCs w:val="20"/>
                <w:color w:val="auto"/>
              </w:rPr>
            </w:pP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2021</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11,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2021</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2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2021</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2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2021</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3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r>
      <w:tr>
        <w:trPr>
          <w:trHeight w:val="22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0.2000</w:t>
            </w:r>
          </w:p>
        </w:tc>
      </w:tr>
      <w:tr>
        <w:trPr>
          <w:trHeight w:val="23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0.2300</w:t>
            </w:r>
          </w:p>
        </w:tc>
      </w:tr>
      <w:tr>
        <w:trPr>
          <w:trHeight w:val="22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21, 2022</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r>
      <w:tr>
        <w:trPr>
          <w:trHeight w:val="22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amounts of distributions declared and paid during the periods presented (all from Available Cash from Energy Transfer’s operating surplus and are shown in the period to which they relate)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1,777</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 interest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Energy Transfer distributions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Preferred Unit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8 to the consolidated financial statements in “Item 8. Financial Statements and Supplementary Data”, in connection with the Rollup Mergers, ETO’s outstanding preferred units were converted into Energy Transfer Preferred Units on April 1,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Energy Transfer’s Series A, Series B, Series C, Series D, Series E, Series F, Series G and Series H preferred units declared and/or paid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 Ended</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Record Date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Date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Series A </w:t>
            </w:r>
            <w:r>
              <w:rPr>
                <w:rFonts w:ascii="Times New Roman" w:cs="Times New Roman" w:eastAsia="Times New Roman" w:hAnsi="Times New Roman"/>
                <w:sz w:val="18"/>
                <w:szCs w:val="18"/>
                <w:color w:val="auto"/>
                <w:vertAlign w:val="superscript"/>
              </w:rPr>
              <w:t>(1)</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8"/>
                <w:szCs w:val="18"/>
                <w:color w:val="auto"/>
                <w:vertAlign w:val="superscript"/>
              </w:rPr>
              <w:t>(1)</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Series D</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Series 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Series F </w:t>
            </w:r>
            <w:r>
              <w:rPr>
                <w:rFonts w:ascii="Times New Roman" w:cs="Times New Roman" w:eastAsia="Times New Roman" w:hAnsi="Times New Roman"/>
                <w:sz w:val="18"/>
                <w:szCs w:val="18"/>
                <w:color w:val="auto"/>
                <w:vertAlign w:val="superscript"/>
              </w:rPr>
              <w:t>(1)</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Series G </w:t>
            </w:r>
            <w:r>
              <w:rPr>
                <w:rFonts w:ascii="Times New Roman" w:cs="Times New Roman" w:eastAsia="Times New Roman" w:hAnsi="Times New Roman"/>
                <w:sz w:val="18"/>
                <w:szCs w:val="18"/>
                <w:color w:val="auto"/>
                <w:vertAlign w:val="superscript"/>
              </w:rPr>
              <w:t>(1)</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Series H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8"/>
                <w:szCs w:val="18"/>
                <w:color w:val="auto"/>
              </w:rPr>
            </w:pPr>
          </w:p>
        </w:tc>
      </w:tr>
      <w:tr>
        <w:trPr>
          <w:trHeight w:val="196"/>
        </w:trPr>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2021</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3, 2021</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17, 2021</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2, 2021</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16,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r>
      <w:tr>
        <w:trPr>
          <w:trHeight w:val="146"/>
        </w:trPr>
        <w:tc>
          <w:tcPr>
            <w:tcW w:w="14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September 30, 2021</w:t>
            </w:r>
          </w:p>
        </w:tc>
        <w:tc>
          <w:tcPr>
            <w:tcW w:w="1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November 1, 2021</w:t>
            </w:r>
          </w:p>
        </w:tc>
        <w:tc>
          <w:tcPr>
            <w:tcW w:w="12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November 15,</w:t>
            </w:r>
          </w:p>
        </w:tc>
        <w:tc>
          <w:tcPr>
            <w:tcW w:w="92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33.75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35.63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27.08</w:t>
            </w:r>
          </w:p>
        </w:tc>
        <w:tc>
          <w:tcPr>
            <w:tcW w:w="1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98"/>
        </w:trPr>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39"/>
        </w:trPr>
        <w:tc>
          <w:tcPr>
            <w:tcW w:w="14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December 31, 2021</w:t>
            </w:r>
          </w:p>
        </w:tc>
        <w:tc>
          <w:tcPr>
            <w:tcW w:w="1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February 1, 2022</w:t>
            </w:r>
          </w:p>
        </w:tc>
        <w:tc>
          <w:tcPr>
            <w:tcW w:w="12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February 15,</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r>
      <w:tr>
        <w:trPr>
          <w:trHeight w:val="193"/>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8"/>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16, 2022</w:t>
            </w:r>
          </w:p>
        </w:tc>
        <w:tc>
          <w:tcPr>
            <w:tcW w:w="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180" w:type="dxa"/>
            <w:vAlign w:val="bottom"/>
            <w:shd w:val="clear" w:color="auto" w:fill="CCEEFF"/>
          </w:tcPr>
          <w:p>
            <w:pPr>
              <w:spacing w:after="0"/>
              <w:rPr>
                <w:sz w:val="18"/>
                <w:szCs w:val="18"/>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2022</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15,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r>
      <w:tr>
        <w:trPr>
          <w:trHeight w:val="146"/>
        </w:trPr>
        <w:tc>
          <w:tcPr>
            <w:tcW w:w="14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September 30, 2022</w:t>
            </w:r>
          </w:p>
        </w:tc>
        <w:tc>
          <w:tcPr>
            <w:tcW w:w="1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November 1, 2022</w:t>
            </w:r>
          </w:p>
        </w:tc>
        <w:tc>
          <w:tcPr>
            <w:tcW w:w="12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November 15,</w:t>
            </w:r>
          </w:p>
        </w:tc>
        <w:tc>
          <w:tcPr>
            <w:tcW w:w="92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33.75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35.63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32.50</w:t>
            </w:r>
          </w:p>
        </w:tc>
        <w:tc>
          <w:tcPr>
            <w:tcW w:w="180" w:type="dxa"/>
            <w:vAlign w:val="bottom"/>
            <w:shd w:val="clear" w:color="auto" w:fill="CCEEFF"/>
          </w:tcPr>
          <w:p>
            <w:pPr>
              <w:spacing w:after="0"/>
              <w:rPr>
                <w:sz w:val="12"/>
                <w:szCs w:val="12"/>
                <w:color w:val="auto"/>
              </w:rPr>
            </w:pPr>
          </w:p>
        </w:tc>
      </w:tr>
      <w:tr>
        <w:trPr>
          <w:trHeight w:val="198"/>
        </w:trPr>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39"/>
        </w:trPr>
        <w:tc>
          <w:tcPr>
            <w:tcW w:w="14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December 31, 2022</w:t>
            </w:r>
          </w:p>
        </w:tc>
        <w:tc>
          <w:tcPr>
            <w:tcW w:w="1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February 1, 2023</w:t>
            </w:r>
          </w:p>
        </w:tc>
        <w:tc>
          <w:tcPr>
            <w:tcW w:w="12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February 15,</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0.4609</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r>
      <w:tr>
        <w:trPr>
          <w:trHeight w:val="188"/>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64"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prorated initial distribution.</w:t>
      </w:r>
    </w:p>
    <w:p>
      <w:pPr>
        <w:spacing w:after="0" w:line="90" w:lineRule="exact"/>
        <w:rPr>
          <w:sz w:val="20"/>
          <w:szCs w:val="20"/>
          <w:color w:val="auto"/>
        </w:rPr>
      </w:pPr>
    </w:p>
    <w:p>
      <w:pPr>
        <w:ind w:left="340" w:right="20" w:hanging="332"/>
        <w:spacing w:after="0" w:line="229" w:lineRule="auto"/>
        <w:tabs>
          <w:tab w:leader="none" w:pos="296"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Series A, Series B, Series F, Series G and Series H distributions are currently paid on a semi-annual basis. Pursuant to their terms, distributions on the Series A and Series B preferred units will be paid quarterly beginning after February 15, 2023 and February 15, 2028,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Sunoco LP Cash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28.5 million Sunoco LP common units and all of Sunoco LP’s incentive distribution rights. As of December 31, 2022, Sunoco LP had approximately 84.1 million common units outstanding.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Marginal Percentage Interest in</w:t>
            </w:r>
          </w:p>
        </w:tc>
      </w:tr>
      <w:tr>
        <w:trPr>
          <w:trHeight w:val="239"/>
        </w:trPr>
        <w:tc>
          <w:tcPr>
            <w:tcW w:w="4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Distributions</w:t>
            </w:r>
          </w:p>
        </w:tc>
      </w:tr>
      <w:tr>
        <w:trPr>
          <w:trHeight w:val="173"/>
        </w:trPr>
        <w:tc>
          <w:tcPr>
            <w:tcW w:w="41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gridSpan w:val="2"/>
          </w:tcPr>
          <w:p>
            <w:pPr>
              <w:ind w:left="380"/>
              <w:spacing w:after="0" w:line="173" w:lineRule="exact"/>
              <w:rPr>
                <w:sz w:val="20"/>
                <w:szCs w:val="20"/>
                <w:color w:val="auto"/>
              </w:rPr>
            </w:pPr>
            <w:r>
              <w:rPr>
                <w:rFonts w:ascii="Times New Roman" w:cs="Times New Roman" w:eastAsia="Times New Roman" w:hAnsi="Times New Roman"/>
                <w:sz w:val="18"/>
                <w:szCs w:val="18"/>
                <w:color w:val="auto"/>
              </w:rPr>
              <w:t>Common</w:t>
            </w:r>
          </w:p>
        </w:tc>
        <w:tc>
          <w:tcPr>
            <w:tcW w:w="1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20" w:type="dxa"/>
            <w:vAlign w:val="bottom"/>
          </w:tcPr>
          <w:p>
            <w:pPr>
              <w:spacing w:after="0"/>
              <w:rPr>
                <w:sz w:val="21"/>
                <w:szCs w:val="21"/>
                <w:color w:val="auto"/>
              </w:rPr>
            </w:pPr>
          </w:p>
        </w:tc>
        <w:tc>
          <w:tcPr>
            <w:tcW w:w="4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Quarterly Distribution Target Amount</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Unitholders</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Holder of IDRs</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4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$0.4375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$0.4375 to $0.503125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9"/>
                <w:szCs w:val="19"/>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4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$0.503125 to $0.546875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0" w:type="dxa"/>
            <w:vAlign w:val="bottom"/>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Target Distribution</w:t>
            </w:r>
          </w:p>
        </w:tc>
        <w:tc>
          <w:tcPr>
            <w:tcW w:w="4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$0.546875 to $0.656250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Above $0.656250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 w:type="dxa"/>
            <w:vAlign w:val="bottom"/>
          </w:tcPr>
          <w:p>
            <w:pPr>
              <w:spacing w:after="0"/>
              <w:rPr>
                <w:sz w:val="19"/>
                <w:szCs w:val="19"/>
                <w:color w:val="auto"/>
              </w:rPr>
            </w:pPr>
          </w:p>
        </w:tc>
      </w:tr>
      <w:tr>
        <w:trPr>
          <w:trHeight w:val="850"/>
        </w:trPr>
        <w:tc>
          <w:tcPr>
            <w:tcW w:w="4120" w:type="dxa"/>
            <w:vAlign w:val="bottom"/>
          </w:tcPr>
          <w:p>
            <w:pPr>
              <w:spacing w:after="0"/>
              <w:rPr>
                <w:sz w:val="24"/>
                <w:szCs w:val="24"/>
                <w:color w:val="auto"/>
              </w:rPr>
            </w:pPr>
          </w:p>
        </w:tc>
        <w:tc>
          <w:tcPr>
            <w:tcW w:w="40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Sunoco LP’s units declared and/or paid by Sunoco LP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Quarter Ended</w:t>
            </w:r>
          </w:p>
        </w:tc>
        <w:tc>
          <w:tcPr>
            <w:tcW w:w="27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Record Date</w:t>
            </w:r>
          </w:p>
        </w:tc>
        <w:tc>
          <w:tcPr>
            <w:tcW w:w="2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Payment Date</w:t>
            </w:r>
          </w:p>
        </w:tc>
        <w:tc>
          <w:tcPr>
            <w:tcW w:w="620" w:type="dxa"/>
            <w:vAlign w:val="bottom"/>
          </w:tcPr>
          <w:p>
            <w:pPr>
              <w:spacing w:after="0"/>
              <w:rPr>
                <w:sz w:val="20"/>
                <w:szCs w:val="20"/>
                <w:color w:val="auto"/>
              </w:rPr>
            </w:pP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2021</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11,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2021</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2021</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2021</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18, 2022</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distributions to the Partnership from Sunoco LP for the periods presented below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 from Sunoco LP</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 interests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Partner interest and IDRs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distributions from Sunoco LP</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USAC Cash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46.1 million USAC common units. As of December 31, 2022, USAC had approximately 98.2 million common units outstanding. USAC currently has a non-economic general partner interest and no outstanding IDRs.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USAC’s units declared and/or paid by USAC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Quarter Ended</w:t>
            </w:r>
          </w:p>
        </w:tc>
        <w:tc>
          <w:tcPr>
            <w:tcW w:w="27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Record Date</w:t>
            </w:r>
          </w:p>
        </w:tc>
        <w:tc>
          <w:tcPr>
            <w:tcW w:w="2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Payment Date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Rate</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5, 2021</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26, 2021</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26, 2021</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25, 2021</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25, 2022</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2022</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5, 2022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24, 2022</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2023</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8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total amount of distributions to the Partnership from USAC for the periods presented below is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Years Ended December 31,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 from USAC</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 interests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distributions from USAC</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selection and application of accounting policies is an important process that has developed as our business activities have evolved and as the accounting rules have developed. Accounting rules generally do not involve a selection among alternatives,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Our critical accounting policies are discussed below. For further details on our accounting policies see Note 2 to our consolidated financial statements.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are estimated using volume estimates and market prices for our intrastate transportation and storage segment, our midstream segment, and our NGL and refined products transportation and services segment. Any differences between estimated results and actual results are recognized in the following month’s financial statements. Management believes that the operating results estimated for the year ended December 31, 2022 represent the actual results in all material respects.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Estimates in Business Combination Accounting and Impairment of Long-Lived Assets, Goodwill, Intangible Assets and Investments in Unconsolidated Affiliates. </w:t>
      </w:r>
      <w:r>
        <w:rPr>
          <w:rFonts w:ascii="Times New Roman" w:cs="Times New Roman" w:eastAsia="Times New Roman" w:hAnsi="Times New Roman"/>
          <w:sz w:val="18"/>
          <w:szCs w:val="18"/>
          <w:color w:val="auto"/>
        </w:rPr>
        <w:t>Business combination accounting and quantitative impairment testing are required from time to time due to the occurrence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changes in circumstances, or annual testing requirements. For business combinations, assets and liabilities are required to be recorded at estimated fair value in connection with the initial recognition of the transaction. For impairment testing, long-lived assets are required to be tested 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 other than temporary. An impairment loss should be recognized only if the carrying amount of the asset/goodwill is not recoverable and exceeds its fair value. Calculating the fair value of assets or reporting units in connection with business combination accounting or impairment testing requires management to make several estimates, assumptions and judgements, and in some circumstances management may also utilize third-party specialists to assist and advise on those calculations.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allocate the purchase price in a business combination or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 value, we make certain estimates and assumptions, including, among other things, changes in general economic conditions in regions in which our markets are located, the availability and prices of commodities, our ability to negotiate favorable sales agreements, the risks that exploration and production activities will not occur or be successful, our dependence on certain significant customers and producers,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determines the fair value of its assets and/or reporting units using a discounted cash flow method, the guideline company method, the reproduction and replacement methods, or a weighted combination of these methods.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business combination accounting and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projected EBITDA and then averaging that estimate with similar historical calculations using a multi-year average. In addition, the Partnership estimates a reasonable control premium, when appropriate, representing the incremental value that accrues to the majority owner from the opportunity to dictate the strategic and operational actions of the business. Under the reproduction and replacement methods, the Partnership determines the fair value of assets based on the estimated installation, engineering, and set-up costs related to the asset; these methods require the use of trend factors, such as inflation indices.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key assumption in these fair value calculations is management’s estimate of future cash flows and EBITDA. In accounting for a business combination, these estimates are generally based on the forecasts that were used to analyze the deal economics. For impairment testing,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 described in “Item 1A. Risk Factors.” Therefore, the actual results could differ significantly from the amounts used for business combination accounting and impairment testing, and significant changes in fair value estimates could occur in a given period. Such changes in fair value estimates could result in changes to the fair value estimates used in business combination accounting, which could significantly impact results of operations in a period subsequent to the business combination, depending on multiple factors, including the timing of such changes. In the case of impairment testing, such changes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change our method of impairment testing, including changing the weight assigned to different valuation models. Such changes could be driven by various factors, including the level of precision or availability of data for our assumptions. Any changes in the method of testing could also result in an impairment or impact the magnitude of an impairment.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Partnership recorded total assets of $1.38 billion, $8.58 billion and $12 million, respectively, in connection with business combinations.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the Partnership recorded impairments totaling $386 million, $21 million and $3.01 billion, respectively, including $129 million in impairments in unconsolidated affiliates in 2020, and $5 million and $66 million of long-lived asset impairments in 2021 and 2020, respectively. Additional information on the impairments recorded during these periods is available in “Item 8. Financial Statements and Supplementary Data.”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does not believe that any of the Partnership’s goodwill balances, long-lived assets or investments in unconsolidated affiliates is currently at significant risk of a material impairment; however, of the $2.57 billion of goodwill on the Partnership’s consolidated balance sheet as of December 31, 2022, approximately $368 million is recorded in reporting units for which the estimated fair value exceeded the carrying value by less than 20% in the most recent quantitative test.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Estimated Useful Lives of Long-Lived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of long-lived assets is provided using the straight-line method based on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Changes in the estimated useful lives of the assets could have a material effect on our results of operation. The Partnership’s results of operations have not been significantly impacted by changes in the estimated useful lives of our long-lived assets during the periods presented, and we do not anticipate any such significant changes in the future. However, changes in facts and circumstances could cause us to change the estimated useful lives of the assets, which could significantly impact the Partnership’s results of operations. Additional information on our accounting policies and the estimated useful lives associated with our long-lived assets is available in “Item 8. Financial Statements and Supplementary Data.”</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 and Regulatory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subject to litigation and regulatory proceedings as a result of our business operations and transactions. We utilize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internal and 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 As of December 31, 2022 and 2021, accruals of $200 million and $144 million, respectively, were reflected in our consolidated balance sheets related to these contingent obligations.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our litigation and contingencies, see Note 11 to our consolidated financial statements included in “Item 8. Financial Statements and Supplementary Data”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Activities. </w:t>
      </w:r>
      <w:r>
        <w:rPr>
          <w:rFonts w:ascii="Times New Roman" w:cs="Times New Roman" w:eastAsia="Times New Roman" w:hAnsi="Times New Roman"/>
          <w:sz w:val="18"/>
          <w:szCs w:val="18"/>
          <w:color w:val="auto"/>
        </w:rPr>
        <w:t>The Partnership’s accrual for environmental remediation activities reflects anticipated work at identified 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Losses attributable to unasserted claims are generally reflected in the accruals on an undiscounted basis, to the extent they are probable of occurrence and reasonably estimable. 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The Partnership’s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 reflected $282 million and $293 million in environmental accruals as of December 31, 2022 and 2021, respectively.</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 adverse developments with respect to any individual site is not expected to be material. However, if changes in environmental laws or regulations occur or the assumptions used to estimate losses at multiple sites are adjusted, such changes could impact multiple facilities, formerly owned facilities and third-party sites at the same time. As a result, from time to time, significant charges against income for environmental remediation may occur; however, management does not believe that any such charges would have a material adverse impact on the Partnership’s consolidated financial position.</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Income Taxes. </w:t>
      </w:r>
      <w:r>
        <w:rPr>
          <w:rFonts w:ascii="Times New Roman" w:cs="Times New Roman" w:eastAsia="Times New Roman" w:hAnsi="Times New Roman"/>
          <w:sz w:val="18"/>
          <w:szCs w:val="18"/>
          <w:color w:val="auto"/>
        </w:rPr>
        <w:t>Energy Transfer recognizes benefits in earnings and related deferred tax assets for net operating loss carryforwards (“NOLs”)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credit 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excess business interest expense carryforwards totaling $603 million have been included in Energy Transfer’s consolidated balance sheet as of December 31, 2022. The state NOL carryforward benefits of $104 million ($82 million net of federal benefit) began expiring in 2023 with a substantial portion expiring between 2033 and 2039. Energy Transfer’s corporate subsidiaries have federal NOLs of $2.4 billion ($496 million in benefits) of which $645 million will expire between 2036 and 2037. A total of $341 million of the federal net operating loss carryforward is limited under IRC §382. Although we expect to fully utilize the IRC §382 limited federal net operating loss, the amount utilized in a particular year may be limited. Any federal NOL generated in 2018 and future years can be carried forward indefinitely. We have determined that a valuation allowance totaling $4 million ($3 million net of federal income tax effects) is required for state NOLs as of December 31, 2022 primarily due to significant restrictions on their use in the Commonwealth of Pennsylvania. A separate valuation allowance of $15 million is attributable to foreign tax credits.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80"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make cash distributions to us, which is dependent on their results of operations, cash flows and financial condition;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of cash distributions by our subsidiaries to us;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volumes transported on our subsidiaries’ pipelines and gathering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our subsidiaries’ processing and treating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our subsidiaries charge and the margins they realize for their gathering, treating, processing, storage and transportation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market demand for, and the relationship between,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prices generally;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world health events, including the COVID-19 pandemic;</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natural gas and NGLs compared to the price of alternative and competing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level of petroleum product demand and the availability and price of NGL supplies;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oil, natural gas and NGL production;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imported oil,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foreign oil and gas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and economic stability of petroleum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weather conditions on demand for oil,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local, intrastate and interstate transportation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find and contract for new sources of natural gas supply;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marketing of competitive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efficiencies and technological trends;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taxation;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and the application of, regulation of tariff rates and operational requirements related to our subsidiaries’ interstate and intrastate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or operating risks incidental to the gathering, treating, processing and transporting of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midstream companies and interstate pipeline companies;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natural gas producers or the providers of fractionation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capacity or allocations of third-party pipelines that connect with our subsidiaries pipelines and facilities;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risk-management policies and procedures and the ability of our subsidiaries liquids marketing counterparties to satisfy their financial commitments;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nonperformance by our subsidiaries’ customers;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environmental, political and legal uncertainties that may affect the timing and cost of our subsidiaries’ internal growth projects, such as our subsidiaries’ construction of additional pipeline systems;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construction of new pipelines and treating and processing facilities or additions to our subsidiaries’ existing pipelines and facilities, including difficulties in obtaining permits and rights-of-way or other regulatory approvals and the performance by third-party contractors;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and our subsidiaries’ ability to access certain capital sources;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and capital markets;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assets and operations of entities in which our subsidiaries own a noncontrolling interests, including risks related to management actions at such entities that our subsidiaries may not be able to control or exert influence;</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identify and consummate strategic acquisitions at purchase prices that are accretive to our financial results and to successfully integrate acquired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to which we are subject, including tax, environmental, transportation and employment regulations or new interpretations by regulatory agencies concerning such laws and regulations;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legal and administrative proceedings.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commodity-related financial derivative instruments, fair values and the effect of an assumed hypothetical 10% change in the underlying price of the commodity as of December 31, 2022 and 2021 for the Partnership and its consolidated subsidiaries. Dollar amounts are presented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780" w:type="dxa"/>
            <w:vAlign w:val="bottom"/>
            <w:tcBorders>
              <w:bottom w:val="single" w:sz="8" w:color="auto"/>
            </w:tcBorders>
            <w:gridSpan w:val="6"/>
          </w:tcPr>
          <w:p>
            <w:pPr>
              <w:jc w:val="right"/>
              <w:ind w:right="95"/>
              <w:spacing w:after="0"/>
              <w:rPr>
                <w:sz w:val="20"/>
                <w:szCs w:val="20"/>
                <w:color w:val="auto"/>
              </w:rPr>
            </w:pPr>
            <w:r>
              <w:rPr>
                <w:rFonts w:ascii="Times New Roman" w:cs="Times New Roman" w:eastAsia="Times New Roman" w:hAnsi="Times New Roman"/>
                <w:sz w:val="18"/>
                <w:szCs w:val="18"/>
                <w:color w:val="auto"/>
              </w:rPr>
              <w:t>December 31, 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6"/>
          </w:tcPr>
          <w:p>
            <w:pPr>
              <w:jc w:val="right"/>
              <w:ind w:right="95"/>
              <w:spacing w:after="0"/>
              <w:rPr>
                <w:sz w:val="20"/>
                <w:szCs w:val="20"/>
                <w:color w:val="auto"/>
              </w:rPr>
            </w:pPr>
            <w:r>
              <w:rPr>
                <w:rFonts w:ascii="Times New Roman" w:cs="Times New Roman" w:eastAsia="Times New Roman" w:hAnsi="Times New Roman"/>
                <w:sz w:val="18"/>
                <w:szCs w:val="18"/>
                <w:color w:val="auto"/>
              </w:rPr>
              <w:t>December 31, 2021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color w:val="auto"/>
                <w:w w:val="97"/>
              </w:rPr>
              <w:t>Fair Value</w:t>
            </w:r>
          </w:p>
        </w:tc>
        <w:tc>
          <w:tcPr>
            <w:tcW w:w="220" w:type="dxa"/>
            <w:vAlign w:val="bottom"/>
          </w:tcPr>
          <w:p>
            <w:pPr>
              <w:spacing w:after="0"/>
              <w:rPr>
                <w:sz w:val="13"/>
                <w:szCs w:val="13"/>
                <w:color w:val="auto"/>
              </w:rPr>
            </w:pPr>
          </w:p>
        </w:tc>
        <w:tc>
          <w:tcPr>
            <w:tcW w:w="1020" w:type="dxa"/>
            <w:vAlign w:val="bottom"/>
          </w:tcPr>
          <w:p>
            <w:pPr>
              <w:jc w:val="center"/>
              <w:ind w:right="131"/>
              <w:spacing w:after="0" w:line="155" w:lineRule="exact"/>
              <w:rPr>
                <w:sz w:val="20"/>
                <w:szCs w:val="20"/>
                <w:color w:val="auto"/>
              </w:rPr>
            </w:pPr>
            <w:r>
              <w:rPr>
                <w:rFonts w:ascii="Times New Roman" w:cs="Times New Roman" w:eastAsia="Times New Roman" w:hAnsi="Times New Roman"/>
                <w:sz w:val="16"/>
                <w:szCs w:val="16"/>
                <w:color w:val="auto"/>
                <w:w w:val="99"/>
              </w:rPr>
              <w:t>Effect of</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color w:val="auto"/>
                <w:w w:val="97"/>
              </w:rPr>
              <w:t>Fair Value</w:t>
            </w:r>
          </w:p>
        </w:tc>
        <w:tc>
          <w:tcPr>
            <w:tcW w:w="220" w:type="dxa"/>
            <w:vAlign w:val="bottom"/>
          </w:tcPr>
          <w:p>
            <w:pPr>
              <w:spacing w:after="0"/>
              <w:rPr>
                <w:sz w:val="13"/>
                <w:szCs w:val="13"/>
                <w:color w:val="auto"/>
              </w:rPr>
            </w:pPr>
          </w:p>
        </w:tc>
        <w:tc>
          <w:tcPr>
            <w:tcW w:w="1020" w:type="dxa"/>
            <w:vAlign w:val="bottom"/>
          </w:tcPr>
          <w:p>
            <w:pPr>
              <w:jc w:val="center"/>
              <w:ind w:right="131"/>
              <w:spacing w:after="0" w:line="155" w:lineRule="exact"/>
              <w:rPr>
                <w:sz w:val="20"/>
                <w:szCs w:val="20"/>
                <w:color w:val="auto"/>
              </w:rPr>
            </w:pPr>
            <w:r>
              <w:rPr>
                <w:rFonts w:ascii="Times New Roman" w:cs="Times New Roman" w:eastAsia="Times New Roman" w:hAnsi="Times New Roman"/>
                <w:sz w:val="16"/>
                <w:szCs w:val="16"/>
                <w:color w:val="auto"/>
                <w:w w:val="99"/>
              </w:rPr>
              <w:t>Effect of</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Notional Volume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Asset</w:t>
            </w: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Hypothetical 10%</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Notional Volume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Asset</w:t>
            </w:r>
          </w:p>
        </w:tc>
        <w:tc>
          <w:tcPr>
            <w:tcW w:w="12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Hypothetical 10%</w:t>
            </w:r>
          </w:p>
        </w:tc>
        <w:tc>
          <w:tcPr>
            <w:tcW w:w="0" w:type="dxa"/>
            <w:vAlign w:val="bottom"/>
          </w:tcPr>
          <w:p>
            <w:pPr>
              <w:spacing w:after="0"/>
              <w:rPr>
                <w:sz w:val="1"/>
                <w:szCs w:val="1"/>
                <w:color w:val="auto"/>
              </w:rPr>
            </w:pPr>
          </w:p>
        </w:tc>
      </w:tr>
      <w:tr>
        <w:trPr>
          <w:trHeight w:val="213"/>
        </w:trPr>
        <w:tc>
          <w:tcPr>
            <w:tcW w:w="3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Mark-to-Market Derivatives</w:t>
            </w: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(Liability)</w:t>
            </w: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Change</w:t>
            </w: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(Liability)</w:t>
            </w:r>
          </w:p>
        </w:tc>
        <w:tc>
          <w:tcPr>
            <w:tcW w:w="220" w:type="dxa"/>
            <w:vAlign w:val="bottom"/>
          </w:tcPr>
          <w:p>
            <w:pPr>
              <w:spacing w:after="0"/>
              <w:rPr>
                <w:sz w:val="18"/>
                <w:szCs w:val="18"/>
                <w:color w:val="auto"/>
              </w:rPr>
            </w:pPr>
          </w:p>
        </w:tc>
        <w:tc>
          <w:tcPr>
            <w:tcW w:w="102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205"/>
        </w:trPr>
        <w:tc>
          <w:tcPr>
            <w:tcW w:w="3500" w:type="dxa"/>
            <w:vAlign w:val="bottom"/>
            <w:vMerge w:val="continue"/>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(Trading)</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(BBtu):</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Fixed Swaps/Futures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520"/>
              <w:spacing w:after="0" w:line="230" w:lineRule="exact"/>
              <w:rPr>
                <w:sz w:val="20"/>
                <w:szCs w:val="20"/>
                <w:color w:val="auto"/>
              </w:rPr>
            </w:pPr>
            <w:r>
              <w:rPr>
                <w:rFonts w:ascii="Times New Roman" w:cs="Times New Roman" w:eastAsia="Times New Roman" w:hAnsi="Times New Roman"/>
                <w:sz w:val="18"/>
                <w:szCs w:val="18"/>
                <w:color w:val="auto"/>
              </w:rPr>
              <w:t>Basis Swaps IFERC/NYMEX</w:t>
            </w:r>
            <w:r>
              <w:rPr>
                <w:rFonts w:ascii="Times New Roman" w:cs="Times New Roman" w:eastAsia="Times New Roman" w:hAnsi="Times New Roman"/>
                <w:sz w:val="23"/>
                <w:szCs w:val="23"/>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 (Megawatt):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Forwards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Futures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Options – Puts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 – Calls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(Non-Trading)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(BBtu):</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Basis Swaps IFERC/NYMEX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Swing Swaps IFERC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Fixed Swaps/Futures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 (MBbls) – Forwards/Swaps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Crude (MBbls) – Forwards/Swaps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Refined Products (MBbls) – Futures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Hedging Derivatives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(Non-Trading)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(BBtu):</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Basis Swaps IFERC/NYMEX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Fixed Swaps/Futures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line="229" w:lineRule="auto"/>
        <w:tabs>
          <w:tab w:leader="none" w:pos="248"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aggregate amounts for open positions related to Houston Ship Channel, Waha Hub, NGPL TexOk, West Louisiana Zone and Henry Hub locations.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our subsidiaries had $3.16 billion of floating rate debt outstanding. A hypothetical change of 100 basis points would result in a maximum potential change to interest expense of $32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interest rate swaps outstanding, none of which were designated as hedges for accounting purposes (dollar amounts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Notional Amount Outstanding</w:t>
            </w:r>
          </w:p>
        </w:tc>
        <w:tc>
          <w:tcPr>
            <w:tcW w:w="400" w:type="dxa"/>
            <w:vAlign w:val="bottom"/>
            <w:tcBorders>
              <w:bottom w:val="single" w:sz="8" w:color="auto"/>
            </w:tcBorders>
          </w:tcPr>
          <w:p>
            <w:pPr>
              <w:spacing w:after="0"/>
              <w:rPr>
                <w:sz w:val="20"/>
                <w:szCs w:val="20"/>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w:t>
            </w:r>
            <w:r>
              <w:rPr>
                <w:rFonts w:ascii="Times New Roman" w:cs="Times New Roman" w:eastAsia="Times New Roman" w:hAnsi="Times New Roman"/>
                <w:sz w:val="23"/>
                <w:szCs w:val="23"/>
                <w:color w:val="auto"/>
                <w:vertAlign w:val="superscript"/>
              </w:rPr>
              <w:t>(1)</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3.80%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2023</w:t>
            </w: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3.845% and receive a floating rate</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16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July 2024 </w:t>
            </w:r>
            <w:r>
              <w:rPr>
                <w:rFonts w:ascii="Times New Roman" w:cs="Times New Roman" w:eastAsia="Times New Roman" w:hAnsi="Times New Roman"/>
                <w:sz w:val="23"/>
                <w:szCs w:val="23"/>
                <w:color w:val="auto"/>
                <w:vertAlign w:val="superscript"/>
              </w:rPr>
              <w:t>(2)</w:t>
            </w: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3.512% and receive a floating rate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4" w:lineRule="exact"/>
        <w:rPr>
          <w:sz w:val="20"/>
          <w:szCs w:val="20"/>
          <w:color w:val="auto"/>
        </w:rPr>
      </w:pPr>
    </w:p>
    <w:p>
      <w:pPr>
        <w:ind w:left="320" w:hanging="312"/>
        <w:spacing w:after="0"/>
        <w:tabs>
          <w:tab w:leader="none" w:pos="320"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Floating rates are based on either SOFR or three-month LIBOR.</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effective date. These forward-starting swaps have terms of 30 years with a mandatory termination date the same as the effective date.</w:t>
      </w:r>
    </w:p>
    <w:p>
      <w:pPr>
        <w:spacing w:after="0" w:line="69"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interest rate swap was terminated and settled in 2022.</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hypothetical change of 100 basis points in interest rates for these interest rate swaps would result in a net change in the fair value of interest rate derivatives and earnings (recognized in gains (losses) on interest rate derivatives) of $73 million as of December 31, 2022. For the forward-starting interest rate swaps, a hypothetical change of 100 basis points in interest rates would not affect cash flows until the swaps are settled.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financial statements starting on page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of this report are incorporated by reference.</w:t>
      </w:r>
    </w:p>
    <w:p>
      <w:pPr>
        <w:spacing w:after="0" w:line="16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Marshall S. McCrea, III and Thomas E. Long, Co-Chief Executive Officers of our General Partner (Co-Principal Executive Officers), and Dylan A. Bramhall (Principal Financial Officer), of the effectiveness of the design and operation of our disclosure controls and procedures (as such terms are defined in Rules 13a–15(e) and 15d–15(e) of the Exchange Act) as of the end of the period covered by this report. Based upon that evaluation, management, including Messrs. McCrea, Long and Bramhall, concluded that our disclosure controls and procedures were adequate and effective as of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management of Energy Transfer LP and subsidiaries is responsible for establishing and maintaining adequate internal control over financial reporting, as such term is defined in Exchange Act Rule 13a-15(f). Under the supervision and with the participation of our management, including the Co-Chief Executive Officers and Chief Financial Officer of our General Partner,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Framework”).</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evaluation under the COSO framework, our management concluded that our internal control over financial reporting was effective as of December 31, 2022.</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the effectiveness of our internal control over financial reporting as of December 31, 2022, as stated in their report, which is included herein.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LE GP,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Energy Transfer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Energy Transfer LP (a Delaware limited partnership) and subsidiaries (the “Partnership”)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2022, and our report dated February 17, 2023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(as defined in Rules 13a–15(f) or Rule 15d–15(f)) that occurred in the three months ended December 31, 2022 that has materially affected, or is reasonably likely to materially affect, our internal controls over financial reporting.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partner, LE GP, LLC, manages and directs all of our activities. The officers and directors of Energy Transfer are officers and directors of LE GP, LLC. The members of our general partner elect our general partner’s Board of Directors. The board of directors of our general partner has the authority to appoint our executive officers, subject to provisions in the limited liability company agreement of our general partner. Pursuant to other authority, the board of directors of our general partner may appoint additional management personnel to assist in the management of our operations and, in the event of the death, resignation or removal of our chief executive officer, to appoint a replacement.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1, 2023, our Board of Directors is comprised of nine persons, four of whom qualify as “independent” under the NYSE’s corporate governance standards. As a limited partnership, we are not required under the NYSE’s corporate governance standards (Section 303A) to have a majority of independent directors. We have determined that Messrs. Anderson, Brannon, Grimm and Perry are all “independent” under the NYSE’s corporate governance standards.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limited partnership, we are not required by the rules of the NYSE to seek Unitholder approval for the election of any of our directors. We believe that the members of our general partner have appointed as directors individuals with experience, skills and qualifications relevant to the business of Energy Transfer,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that the members of our general partner have endeavored to assemble a group of individuals with the qualities and attributes required to provide effective oversight of Energy Transfer.</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w:t>
      </w:r>
      <w:r>
        <w:rPr>
          <w:rFonts w:ascii="Times New Roman" w:cs="Times New Roman" w:eastAsia="Times New Roman" w:hAnsi="Times New Roman"/>
          <w:sz w:val="18"/>
          <w:szCs w:val="18"/>
          <w:color w:val="auto"/>
        </w:rPr>
        <w:t>We have no policy requiring either that the positions of the Chairman of the Board and the Chief Executive Officer, or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separate or that they be occupied by the same individual. The Board of Directors believes that this issue is properly addressed as part of the succession planning process and that a determination on this subject should be made when it elects a new chief executive officer or at such other times as when consideration of the matter is warranted by circumstances. Previously, the Board of Directors believed that the CEO was best situated to serve as Chairman because he was the director most familiar with the Partnership’s business and industry, and most capable of effectively identifying strategic priorities and leading the discussion and execution of strategy. Beginning in 2021, the Board of Directors has established separate roles for the Executive Chairman and Co-Chief Executive Officers. Independent directors and management have different perspectives and roles in strategy development. Our independent directors bring experience, oversight and expertise from outside the Partnership and from a variety of industries, while the Executive Chairman and Co-Chief Executive Officers bring extensive experience and expertise specifically related to the Partnership’s business.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Risk Oversight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generally administers its risk oversight function through the board as a whole. Our Co-CEOs, who report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have day-to-day risk management responsibilities. Our Co-CEOs attend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Energy Transfer’s financial and operational performance, which often prompts questions or feedback from the Board of Directors. The Audit Committee provides additional risk oversight through its quarterly meetings, where it receives a report from Energy Transfer’s internal auditor, who reports directly to the Audit Committee, and reviews Energy Transfer’s contingencies with management and our independent auditors.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www.energytransfer.com and will be provided in print form to any Unitholder requesting such information.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note that the preceding Internet address is for information purposes only and is not intended to be a hyperlink. Accordingly, no information found and/or provided at such Internet addresses or at our website in general is intended or deemed to be incorporated by reference herein.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Certification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our Chief Executive Officer provided to the NYSE the annual CEO certification regarding our compliance with the NYSE’s corporate governance listing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Committee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Energy Transfer and our Unitholders. As a policy matter, the Conflicts Committee generally reviews any proposed related-party transaction that may be material to Energy Transfer to determine if the transaction presents a conflict of interest and whether the transaction is fair and reasonable to Energy Transfer. Pursuant to the terms of our Partnership Agreement, any matters approved by the Conflicts Committee will be conclusively deemed to be fair and reasonable to the Energy Transfer, approved by all partners of Energy Transfer and not a breach by the general partner or its Board of Directors of any duties they may owe Energy Transfer or the Unitholders. These duties are limited by our Partnership Agreement (see “Risks Related to Conflicts of Interest” in “Item 1A. Risk Factors”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407(d)(5) of Regulation S-K. The Board determined that based on relevant experience, Audit Committee member Michael K. Grimm qualified as an audit committee financial expert during 2022. A description of the qualifications of Mr. Grimm may be found elsewhere in this Item 10 under “Directors and Executive Officers of the General Partner.”</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approves the filing of our Form 10-K, which includes our audited financial statements. The Audit Committee periodically recommends to the Board of Directors any changes or modifications to its charter that may be required. The Audit Committee has received written disclosures and the letter from Grant Thornton required by applicable requirements of the Audit Committee concerning independence and has discussed with Grant Thornton that firm’s independence. The Audit Committee recommended to the Board that the audited financial statements of Energy Transfer be included in Energy Transfer’s Annual Report on Form 10-K for the year ended December 31, 2022.</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adopts the charter for the Audit Committee. Steven R. Anderson, Richard D. Brannon and Michael K. Grimm serve as elected members of the Audit Committee.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not required under NYSE rules to appoint a Compensation Committee or a Nominating/Corporate Governance Committee because we are a limited partnership, the Board of Directors of LE GP, LLC has previously established a Compensation Committee to establish standards and make recommendations concerning the compensation of our officers and directors. In addition, the Compensation Committee determines and establishes the standards for any awards to our employees and officers under the equity compensation plans, including the performance standards or other restrictions pertaining to the vesting of any such awards. Messrs. Anderson and Grimm serve as members of the Compensation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the Energy Transfer Compensation Committee include, among other duties, the following:</w:t>
      </w:r>
    </w:p>
    <w:p>
      <w:pPr>
        <w:spacing w:after="0" w:line="117"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goals and objectives relevant to compensation of our Co-CEOs and CFO, if applicable;</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 the CEO and CFO’s performance in light of these goals and objectives, and make recommendations to the Board of Directors with respect to the CEO and CFO’s compensation levels, if applicable, based on this evaluation;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determinations with respect to the grant of equity-based awards to executive officers under Energy Transfer’s equity incentive plans;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the terms and administration of Energy Transfer’s long-term incentive plans to assure that they are structured and administered in a manner consistent with Energy Transfer’s goals and objectives;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incentive compensation and equity-related plans and consider amendments if appropriate;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the compensation of the directors;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director, CEO and CFO or executive officer compensation;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deemed appropriate by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applicable to our officers, directors and employees. Specific provisions are applicable to the co-principal executive officers,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Non-management Directors and Communications with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non-management directors meet in regularly scheduled sessions. Our non-management directors alternate as the presiding director of such meetings.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 procedure by which Unitholders or interested parties may communicate directly with the Board of Directors, any committee of the Board, any of the independent directors, or any one director serving on the Board of Directors by sending written correspondence addressed to the desired person, committee or group to the attention of Sonia Aubé at Energy Transfer LP, 8111 Westchester Drive, Suite 600, Dallas, Texas, 75225. Communications are distributed to the Board of Directors, or to any individual director or directors as appropriate, depending on the facts and circumstances outlined in the communication.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Our General Partner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and members of the Board of Directors of our general partner as of February 17, 2023. Executive officers and directors are elected for indefinite terms.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Age</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Our General Partner</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Kelcy L. Warren</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 Long</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and Director (Co-Principal Executive Officer)</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Marshall S. (Mackie) McCrea, III</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 and Director (Co-Principal Executive Officer)</w:t>
            </w: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Dylan A. Bramhall</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Chief Financial Officer (Principal Financial Officer)</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Mason</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President - LNG</w:t>
            </w: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Bradford D. Whitehurst</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of Tax and Corporate Initiatives</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Wright, Jr.</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Troy Sturrock</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Senior Vice President and Controller (Principal Accounting Officer)</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Anderson</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Brannon</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 Grimm</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McReynolds</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 (Rick) Perry</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 Ramsey</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Long, Mr. Mason and Mr. Whitehurst serve as directors of the general partner of USAC.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regarding the foregoing officers and directors of our general partner: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Kelcy L. Warren</w:t>
      </w:r>
      <w:r>
        <w:rPr>
          <w:rFonts w:ascii="Times New Roman" w:cs="Times New Roman" w:eastAsia="Times New Roman" w:hAnsi="Times New Roman"/>
          <w:sz w:val="18"/>
          <w:szCs w:val="18"/>
          <w:color w:val="auto"/>
        </w:rPr>
        <w:t>. Mr. Warren serves as Executive Chairman of our general partner. Mr. Warren served as Chief Executive Officer from August 2007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December 2020. He was appointed Co-Chairman of the Board of Directors of our general partner, effective upon the closing of our IPO, and in August 2007, he became the sole Chairman of the Board of our general partner and the Chief Executive Officer and Chairman of the Board of the general partner of ETO until its merger into Energy Transfer LP in April 2021. Prior to August 2007, Mr. Warren had served as Co-Chief Executive Officer and Co-Chairman of the Board of the general partner of ETO since the combination of the midstream and intrastate transportation storage operations of La Grange Acquisition, L.P. and the retail propane operations of Heritage in January 2004. Mr. Warren also served as the Chief Executive Officer of PennTex Midstream Partners, LP’s general partner from November 2016 to July 2017. Mr. Warren was selected to serve as a director and as Executive Chairman because he previously served as Chief Executive Officer and has more than 30 years in the natural gas industry. Mr. Warren also has relationships with chief executives and other senior management at natural gas transportation companies throughout the United States and brings a unique and valuable perspective to the Board of Directors.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E. Long. </w:t>
      </w:r>
      <w:r>
        <w:rPr>
          <w:rFonts w:ascii="Times New Roman" w:cs="Times New Roman" w:eastAsia="Times New Roman" w:hAnsi="Times New Roman"/>
          <w:sz w:val="18"/>
          <w:szCs w:val="18"/>
          <w:color w:val="auto"/>
        </w:rPr>
        <w:t>Mr. Long has served as the Co-Chief Executive Officer of our general partner since January 2021. Mr. Long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Energy Transfer’s general partner from February 2016 until January 2021, and has been a director of our general partner since April 2019. Mr. Long also served as the Chief Financial Officer and as a director of PennTex Midstream Partners, LP’s general partner from November 2016 to July 2017. Mr. Long also served as Chief Financial Officer of ETO until its merger into Energy Transfer LP in April 2021, and was previously Executive Vice President and Chief Financial Officer of Regency GP LLC from November 2010 to April 2015. Mr. Long served as a director of Sunoco LP from May 2016 until May 2021, and has served on the Board of USAC since April 2018. In May 2022, Mr. Long was appointed to the board of directors of Texas Capital Bancshares, Inc (NASDAQ: TCBI). Mr. Long was selected to serve on our Board of Directors because of his understanding of energy-related corporate finance gained through his extensive experience in the energy industry.</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Marshall S. (Mackie) McCrea, III</w:t>
      </w:r>
      <w:r>
        <w:rPr>
          <w:rFonts w:ascii="Times New Roman" w:cs="Times New Roman" w:eastAsia="Times New Roman" w:hAnsi="Times New Roman"/>
          <w:sz w:val="18"/>
          <w:szCs w:val="18"/>
          <w:color w:val="auto"/>
        </w:rPr>
        <w:t>. Mr. McCrea has served as the Co-Chief Executive Officer of our general partner since January 2021. Prior to that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President and Chief Commercial Officer of our general partner, having served in that role since October 2018 following the merger of Energy Transfer Equity, L.P. and Energy Transfer Partners, L.P. Prior to that time, he had been the Group Chief Operating Officer and Chief Commercial Officer of the Energy Transfer family since November 2015. Mr. McCrea has served on the Board of Directors of our general partner since December 2009. Mr. McCrea was appointed as a director of the general partner of ETO in December 2009 and served in that capacity until ETO’s merger into Energy Transfer LP in April 2021. Prior to December 2009,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 President of La Grange Acquisition LP, ETO’s primary operating subsidiary, after serving as Senior Vice President-Business Development and Producer Services since 1997. Mr. McCrea also served as the Chairman of the Board of Directors of the general partner of Sunoco Logistics Partners L.P. from October 2012 to April 2017. Mr. McCrea was selected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Dylan A. Bramhall. </w:t>
      </w:r>
      <w:r>
        <w:rPr>
          <w:rFonts w:ascii="Times New Roman" w:cs="Times New Roman" w:eastAsia="Times New Roman" w:hAnsi="Times New Roman"/>
          <w:sz w:val="18"/>
          <w:szCs w:val="18"/>
          <w:color w:val="auto"/>
        </w:rPr>
        <w:t>Mr. Bramhall has served as Group Chief Financial Officer of our general partner since November 2022 and currently is also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Sunoco LP’s general partner. Mr. Bramhall joined Energy Transfer in 2015 as a result of its merger with Regency Energy Partners and is responsible for oversight of the Partnership’s Financial Planning and Analysis, Credit and Commodity Risk Management, Insurance, Cash Management, Capital Markets, Accounting, Financial Reporting and Investor Relations groups. He also serves as a member of Energy Transfer’s Risk Oversight Committee. While at Regency, Mr. Bramhall held management positions in the finance, risk, commercial and operations groups. Mr. Bramhall holds a Bachelor of Business Administration in finance and Master of Business Administration in finance and operations management, both from the University of Iowa.</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Thomas P. Mason</w:t>
      </w:r>
      <w:r>
        <w:rPr>
          <w:rFonts w:ascii="Times New Roman" w:cs="Times New Roman" w:eastAsia="Times New Roman" w:hAnsi="Times New Roman"/>
          <w:sz w:val="17"/>
          <w:szCs w:val="17"/>
          <w:color w:val="auto"/>
        </w:rPr>
        <w:t>. Mr. Mason has served as Executive Vice President and President - LNG since December 2022. He became Executive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General Counsel of the general partner of Energy Transfer in December 2015, and served as the Executive Vice President, General Counsel and President - LNG from October 2018 following the merger of Energy Transfer Equity, L.P. and Energy Transfer Partners, L.P. until December 2022 when he resigned from his role as General Counsel. In February 2021, Mr. Mason assumed leadership responsibility over the Partnership’s newly created Alternative Energy Group, which focuses on the development of alternative energy projects aimed at continuing to reduce Energy Transfer’s environmental footprint throughout its operations. Mr. Mason previously served as Senior Vice President, General Counsel and Secretary of ETO’s general partner from April 2012 to December 2015, as Vice President, General Counsel and Secretary from June 2008 and as General Counsel and Secretary from February 2007. Prior to joining Energy Transfer, he was a partner in the Houston office of Vinson &amp; Elkins. Mr. Mason served as a director on the Board of Directors of the general partner of Sunoco Logistics Partners L.P. from October 2012 to April 2017 and as a director on the Board of Directors of PennTex Midstream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Partners, LP’s general partner from November 2016 to July 2017. Mr. Mason has also served as a member of the Board of Directors of USAC since April 2018.</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Bradford D. Whitehurst. </w:t>
      </w:r>
      <w:r>
        <w:rPr>
          <w:rFonts w:ascii="Times New Roman" w:cs="Times New Roman" w:eastAsia="Times New Roman" w:hAnsi="Times New Roman"/>
          <w:sz w:val="18"/>
          <w:szCs w:val="18"/>
          <w:color w:val="auto"/>
        </w:rPr>
        <w:t>Mr. Whitehurst has served as Executive Vice President of Tax and Corporate Initiatives of Energy Transfer since November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January 2021 to November 2022, he served as Chief Financial Officer. From August 2014 through December 2020, he served as Executive Vice President – Head of Tax. Prior to joining Energy Transfer, Mr. Whitehurst was a partner in the Washington, DC office of Bingham McCutchen LLP and an attorney in the Washington, DC offices of both McKee Nelson LLP and Hogan &amp; Hartson. Mr. Whitehurst has specialized in partnership taxation and has advised Energy Transfer and its subsidiaries in his role as outside counsel since 2006. He has served as a member of the board of directors of USAC since April 2019.</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Wright, Jr. </w:t>
      </w:r>
      <w:r>
        <w:rPr>
          <w:rFonts w:ascii="Times New Roman" w:cs="Times New Roman" w:eastAsia="Times New Roman" w:hAnsi="Times New Roman"/>
          <w:sz w:val="18"/>
          <w:szCs w:val="18"/>
          <w:color w:val="auto"/>
        </w:rPr>
        <w:t>Mr. Wright was appointed as Executive Vice President, General Counsel and Chief Compliance Officer of our general partner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He became Executive Vice President - Legal and Chief Compliance Officer of ET’s general partner in October 2018 following the merger of Energy Transfer Equity, L.P. and Energy Transfer Partners, L.P. Mr. Wright has been a part of the Energy Transfer legal team with increasing levels of responsibility since July 2005 and has held various senior-level positions in the legal department including General Counsel of the general partner of Energy Transfer Partners, L.P. from December 2015 to October 2018 and Deputy General Counsel from May 2008 to December 2015. Prior to joining Energy Transfer, Mr. Wright gained significant experience at Enterprise Products Partners, L.P., El Paso Corp., Sonat Exploration Company and KPMG Peat Marwick LLP. Mr. Wright earned a Bachelor of Business Administration degree in Accounting and Finance from Texas A&amp;M University and a JD from South Texas College of Law.</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Troy Sturrock. </w:t>
      </w:r>
      <w:r>
        <w:rPr>
          <w:rFonts w:ascii="Times New Roman" w:cs="Times New Roman" w:eastAsia="Times New Roman" w:hAnsi="Times New Roman"/>
          <w:sz w:val="18"/>
          <w:szCs w:val="18"/>
          <w:color w:val="auto"/>
        </w:rPr>
        <w:t>Mr. Sturrock has served as the Group Senior Vice President, Controller and Principal Accounting Officer of our general partner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2022. He previously served as Senior Vice President, Controller and Principal Accounting Officer, having assumed that role in October 2018 following the merger of Energy Transfer Equity, L.P. and Energy Transfer Partners, L.P. He served as the Senior Vice President, Controller and Principal Accounting Officer of the general partner of ETO from August 2016 until ETO’s merger into Energy Transfer LP in April 2021, and previously served as Vice President, Controller and Principal Accounting Officer of our general partner beginning in June 2015. Mr. Sturrock is a Certified Public Accountant.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R. Anderson. </w:t>
      </w:r>
      <w:r>
        <w:rPr>
          <w:rFonts w:ascii="Times New Roman" w:cs="Times New Roman" w:eastAsia="Times New Roman" w:hAnsi="Times New Roman"/>
          <w:sz w:val="18"/>
          <w:szCs w:val="18"/>
          <w:color w:val="auto"/>
        </w:rPr>
        <w:t>Mr. Anderson was elected to the Board of Directors of our general partner in June 2018 and serves on the audit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Mr. Anderson began his career in the energy business in the early 1970’s with Conoco in the Permian Basin area. He then spent some 25 years with ANR Pipeline and its successor, The Coastal Corporation, as a natural gas supply and midstream executive. He later was Vice President of Commercial Operations with Aquila Midstream and, upon the sale of that business to Energy Transfer in 2002, he became a part of the management team there. For the six years prior to his retirement from Energy Transfer in October 2009, he served as Vice President of Mergers and Acquisitions. Since that time, he has been involved in private investments and has served on the boards of directors of the St. John Health System and Saint Simeon’s Episcopal Home in Tulsa, Oklahoma, as well as various other community and civic organizations. Mr. Anderson also served as a member of the board of directors of Sunoco Logistics Partners L.P. from October 2012 until April 2017. Mr. Anderson was selected to serve on our Board of Directors based on his experience in the midstream energy industry generally, and his knowledge of Energy Transfer’s business specifically. Mr. Anderson also brings recent experience on audit and compensation committees of another publicly traded partnership.</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D. Brannon. </w:t>
      </w:r>
      <w:r>
        <w:rPr>
          <w:rFonts w:ascii="Times New Roman" w:cs="Times New Roman" w:eastAsia="Times New Roman" w:hAnsi="Times New Roman"/>
          <w:sz w:val="18"/>
          <w:szCs w:val="18"/>
          <w:color w:val="auto"/>
        </w:rPr>
        <w:t>Mr. Brannon was appointed to the Board of Directors of our general partner in March 2016 and has served as the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since April 2016. Mr. Brannon is the CEO of CH4 Energy Six, LLC and Uinta Wax, LLC, both independent companies focused on horizontal oil and gas development. Mr. Brannon previously served on the board of directors of WildHorse Resource Development from its IPO in December 2016 until June 2018. Mr. Brannon also formerly served on the Board of Directors and as a member of the audit committee and compensation committee of Sunoco LP, Regency, OEC Compression and Cornerstone Natural Gas Corp. He has over 35 years of experience in the energy business, having started his career in 1981 with Texas Oil &amp; Gas. The members of our general partner selected Mr. Brannon to serve as director based on his knowledge of the energy industry and his experience as a director and audit and compensation committee member for other public companies.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K. Grimm. </w:t>
      </w:r>
      <w:r>
        <w:rPr>
          <w:rFonts w:ascii="Times New Roman" w:cs="Times New Roman" w:eastAsia="Times New Roman" w:hAnsi="Times New Roman"/>
          <w:sz w:val="18"/>
          <w:szCs w:val="18"/>
          <w:color w:val="auto"/>
        </w:rPr>
        <w:t>Mr. Grimm was appointed to the Board of Directors of our general partner in October 2018, and has served on the audit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since that time. Prior to that time, Mr. Grimm served as a director of ETO’s general partner beginning in December 2005, and served on the audit and compensation committee during that time. Mr. Grimm is one of the original founders of Rising Star Energy, L.L.C., a privately held upstream exploration and production company active in onshore continental United States, and served as its President and Chief Executive Officer from 1995 until 2006 when it was sold. Mr. Grimm is currently President of Rising Star Petroleum, LLC. Mr. Grimm was formerly Chairman of the Board of RSP Permian, Inc. (NYSE: RSPP) from January 2014 until June 2018. From November 2018 until it was sold in 2019, Mr. Grimm served on the Board of Directors of Anadarko Petroleum Corporation. Prior to the formation of Rising Star,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Grimm was Vice President of Worldwide Exploration and Land for Placid Oil Company from 1990 to 1994. Prior to joining Placid Oil Company, Mr. Grimm was employed by Amoco Production Company for thirteen years where he held numerous positions throughout the exploration department in Houston, New Orleans and Chicago. Mr. Grimm has been an active member of the American Association of Professional Landmen, Dallas Wildcat Committee, Dallas Producers Club, and the All-American Wildcatters. He has a B.B.A. from the University of Texas at Austin. Mr. Grimm was selected to serve as a director because of his extensive experience in the energy industry and his service as a senior executive at several energy-related companies, in addition to his contacts in the industry gained through his involvement in energy-related organizations.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John W. McReynolds</w:t>
      </w:r>
      <w:r>
        <w:rPr>
          <w:rFonts w:ascii="Times New Roman" w:cs="Times New Roman" w:eastAsia="Times New Roman" w:hAnsi="Times New Roman"/>
          <w:sz w:val="18"/>
          <w:szCs w:val="18"/>
          <w:color w:val="auto"/>
        </w:rPr>
        <w:t>. Mr. McReynolds is a director of Energy Transfer LP, having served in that capacity since August 2004. Mr. McReynolds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President of Energy Transfer LP from March 2005 until October 2018, at which time he became Special Advisor to the Partnership. Mr. McReynolds also previously served as our Chief Financial Officer from August 2005 to June 2013. Prior to becoming President of Energy Transfer LP, Mr. McReynolds was a partner in the international law firm of Hunton &amp; Williams LLP for over 20 years. As a lawyer, he specialized in energy related finance, securities, partnerships, mergers and acquisitions, syndication and litigation matters, and served as an expert in numerous arbitration, litigation, and governmental proceedings, including as an expert in special projects for boards of directors of public companies. Mr. McReynolds was selected to serve in the indicated roles with Energy Transfer because of this extensive background and experience, as well as his many contacts and relationships in the industry.</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 (Rick) Perry. </w:t>
      </w:r>
      <w:r>
        <w:rPr>
          <w:rFonts w:ascii="Times New Roman" w:cs="Times New Roman" w:eastAsia="Times New Roman" w:hAnsi="Times New Roman"/>
          <w:sz w:val="18"/>
          <w:szCs w:val="18"/>
          <w:color w:val="auto"/>
        </w:rPr>
        <w:t>Mr. Perry was appointed to the Board of Directors of our general partner in January 2020. He formerly served as U.S.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from March 2017 until December 2019. Prior to that, he served as the Governor of the State of Texas from 2000 until January 2015. Mr. Perry served as Lieutenant Governor of Texas from 1998 to 2000, and as Agriculture Commissioner from 1991 to 1998. Prior to 1991, he also served in the Texas House of Representatives. Mr. Perry previously served on the Board of Directors of ETO from February 2015 until December 2016. Mr. Perry was selected to serve as a director because of his vast experience as an executive in the highest office of state government. In addition, Mr. Perry has been involved in finance and budget planning processes throughout his career in government as a member of the Texas House Appropriations Committee, the Legislative Budget Board and as Governor.</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Matthew S. Ramsey</w:t>
      </w:r>
      <w:r>
        <w:rPr>
          <w:rFonts w:ascii="Times New Roman" w:cs="Times New Roman" w:eastAsia="Times New Roman" w:hAnsi="Times New Roman"/>
          <w:sz w:val="18"/>
          <w:szCs w:val="18"/>
          <w:color w:val="auto"/>
        </w:rPr>
        <w:t>. Mr. Ramsey was appointed as a director of Energy Transfer’s general partner in July 2012 and served as a director of ETO’s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from November 2015 until its merger into Energy Transfer LP in April 2021. Mr. Ramsey served as the Chief Operating Officer or our general partner from October 2018 until his retirement in April 2022, and served as President and Chief Operating Officer of ETO’s general partner from November 2015 until its merger into Energy Transfer LP in April 2021. Mr. Ramsey also served as President and Chief Operating Officer and Chairman of the board of directors of PennTex Midstream Partners, LP’s general partner from November 2016 to July 2017. Mr. Ramsey also previously served as a director of Sunoco LP, having served as chairman of Sunoco LP’s board from April 2015 until March 2022, and of USAC, having served on that board from April 2018 until March 2022. Mr. Ramsey previously served as President of RPM Exploration, Ltd., a private oil and gas exploration partnership, and previously served as a director of RSP Permian, Inc. where he served on the audit and compensation committees. In addition to his work in the energy business, Mr. Ramsey serves on the board of directors of the National Association of Manufacturers and as a Trustee of the Southwestern Medical Foundation. He is the former Chairman of the University of Texas Chancellor’s Council. Mr. Ramsey holds a B.B.A. in Marketing from the University of Texas at Austin and a J.D. from South Texas College of Law. Mr. Ramsey was selected to serve based on vast experience in the oil and gas space and Energy Transfer believes that he provides valuable industry insight as a member of our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directors and executive officers of our general partner, as well as persons who own more than ten percent of the common units representing limited partnership interests in us, to file reports of ownership and changes of ownership on Forms 3, 4 and 5 with the SEC. The SEC regulations also require that copies of these Section 16(a) reports be furnished to us by such reporting persons. Based upon a review of copies of these reports, we believe all applicable Section 16(a) reports were timely filed in 2022, with the exception of one late Form 4 each for Messrs. Wright, Brannon and McReynolds.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Transfer does not have officers or directors. Instead, we are managed by the board of directors of our General Partner, and the executive officers of our General Partner perform all of Energy Transfer’s management functions. As a result, the executive officers of our General Partner are Energy Transfer’s executive officers, and their compensation is administered by our General Partner. This Compensation Discussion and Analysis is, therefore, focused on the total compensation of the executive officers of our General Partner as set forth below. The persons we refer to in this discussion as our “named executive officers” are the following:</w:t>
      </w:r>
    </w:p>
    <w:p>
      <w:pPr>
        <w:spacing w:after="0" w:line="75"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Marshall S. (Mackie) McCrea, III, Co-Chief Executive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 Long, Co-Chief Executive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Dylan A. Bramhall, Executive Vice President and Group Chief Financial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Whitehurst, Executive Vice President — Tax and Corporate Initiatives;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 Mason, Executive Vice President — Alternative Energy and President — LNG;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Wright, Jr., Executive Vice President, General Counsel and Chief Compliance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Philosophy for Compensation of Executives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its executive officers, including the named executive officers, that provides for a slightly below the median market annual base compensation (i.e., approximately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40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market) but incentive-based compensation composed of a combination of compensation vehicles to reward both short- and long-term performance that are both targeted to pay 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executive officers, including the named executive officers, to the success of the Partnership and the achievement of the annual financial performance objectives and (ii) the annual grant of time-based restricted unit, phantom unit awards or cash restricted unit awards under the Partnership’s equity incentive plan(s) or the equity incentive programs of Sunoco LP, as applicable based on the allocation of executive officers awards, including awards to the named executive officers, which awards are intended to provide a longer term incentive and retention value to its key employees to focus their efforts on increasing the market price of its publicly traded units and to increase the cash distribution the Partnership and/or the other affiliated partnerships pay to their respective unitholders.</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has historically granted restricted unit and/or phantom unit awards (“RSUs”) that vest, based generally upon continued employment, at a rate of 60% after the third year of service and the remaining 40% after the fifth year of service. Beginning in 2020, Energy Transfer began granting cash restricted units (“CRSUs”) that vest, based generally upon continued employment, at a rate of 1/3 annually over a three-year period. For 2020, the awards to employees were generally split equally between RSUs and CRSUs; for 2021 and 2022, the awards were generally split based on 75% RSUs and 25% CRSUs. The Partnership believes that these equity-based incentive arrangements are important in attracting and retaining executive officers and key employees as well as motivating these individuals to achieve stated business objectives. The equity-based compensation reflects the importance our General Partner places on aligning the interests of its named executive officers with those of Unitholders. While the Partnership utilizes time-based forms of equity awards, the grant date valuation utilizes a modified total unitholder return (“TUR”) performance as measured against the average return of Energy Transfer’s identified peer group over defined time periods. The modified TUR is designed to create a recognition of a performance adjustment to the equity awards based on the prior periods measured to add an element of performance impact in setting grant date value even though the RSUs and CRSUs themselves are a time-vested vehicle.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our compensation committee and/or the compensation committee of the general partner of Sunoco LP, as applicable, all in consultation with our General Partner, are responsible for the compensation policies and compensation level of our executive officers, including the named executive officers of our General Partner. In this discussion, we refer to our compensation committee as the “Energy Transfer Compensation Committee.”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For a more detailed description of the compensation to the Partnership’s named executive officers, please see “– Compensation Tables” below. </w:t>
      </w:r>
      <w:r>
        <w:rPr>
          <w:rFonts w:ascii="Times New Roman" w:cs="Times New Roman" w:eastAsia="Times New Roman" w:hAnsi="Times New Roman"/>
          <w:sz w:val="18"/>
          <w:szCs w:val="18"/>
          <w:b w:val="1"/>
          <w:bCs w:val="1"/>
          <w:i w:val="1"/>
          <w:iCs w:val="1"/>
          <w:color w:val="auto"/>
        </w:rPr>
        <w:t>Distributions to Our General Partner</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Partner is majority-owned by Mr. Kelcy Warren. We pay quarterly distributions to our General Partner in accordance with our Partnership Agreement with respect to its ownership of its general partner interest as specified in our Partnership Agreement. The cash distributions we make to our General Partner bear no relationship to the level or components of compensation of our General Partner’s executive officers. Distributions to our General Partner are described in detail in Note 8 to our consolidated financial statements. Our named executive officers also own directly and indirectly certain of our limited partner interests and, accordingly, receive quarterly distributions. Such per-unit distributions equal the per-unit distributions made to all our limited partners and bear no relationship to the level of compensation of the named executive officers or the services they perform as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description of the compensation of our named executive officers, please see “– Compensation Tables”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are structured to achieve the following:</w:t>
      </w:r>
    </w:p>
    <w:p>
      <w:pPr>
        <w:spacing w:after="0" w:line="117" w:lineRule="exact"/>
        <w:rPr>
          <w:sz w:val="20"/>
          <w:szCs w:val="20"/>
          <w:color w:val="auto"/>
        </w:rPr>
      </w:pPr>
    </w:p>
    <w:p>
      <w:pPr>
        <w:ind w:left="340" w:hanging="332"/>
        <w:spacing w:after="0" w:line="282" w:lineRule="auto"/>
        <w:tabs>
          <w:tab w:leader="none" w:pos="3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talented executive officers and key management employees by providing total compensation competitive with that of other executive officers and key management employees employed by publicly traded limited partnerships or other peer companies of similar size and in similar lines of business;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executive officers and key employees to achieve strong financial and operational performance;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performance-based, or “at-risk,” compensation;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individual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the compensation paid to our named executive officers consisted of the following components:</w:t>
      </w:r>
    </w:p>
    <w:p>
      <w:pPr>
        <w:spacing w:after="0" w:line="117" w:lineRule="exact"/>
        <w:rPr>
          <w:sz w:val="20"/>
          <w:szCs w:val="20"/>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consisting solely of discretionary cash bonuses;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time-vested RSUs and CRSUs under the equity incentive plan(s);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distribution equivalent rights (“DERs”) on unvested time-based RSUs under our equity incentive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previously issued time-based RSUs issued pursuant to our equity incentive plans or the equity incentive plans(s) of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 employer contributions.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Energy Transfer Compensation Committee considers relevant data available to it to assess our competitive position with respect to base salary, annual short-term incentives and long-term incentive compensation for our executive officers, including the named executive officers. The Energy Transfer Compensation Committee also considers individual performance, levels of responsibility, skills and experience.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the Energy Transfer Compensation Committee engages a third-party independent compensation consultant to provide a full market competitive compensation analysis for compensation levels at peer companies in order to assist in the determination of compensation levels for our executive officers, including the named executive officers. Most recently, in 2021 Meridian Compensation Partners, LLC (“Meridian”) completed an evaluation of the market competitiveness of total compensation levels of a number of officers of the Partnership, including the named executive officers. The Meridian review provided market information with respect to compensation of Partnership executives, including named executive officers during the year ended December 31, 2021. In particular, the review by Meridian was designed to (i) evaluate the market competitiveness of total compensation levels for certain members of senior management, including our named executive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officers; (ii) assist in the determination of appropriate compensation levels for our senior management, including the named executive officers; and (iii) confirm that our compensation programs were yielding compensation packages consistent with our overall compensation philosophy. The Partnership continued to rely on the Meridian review for calendar year 2022.</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its review, Meridian assisted in the development of the final “peer group” of leading companies in the energy industry that most closely reflect the profile of Energy Transfer. The final “peer group” consisted of the core group of peers (i.e. the eight most similar peers in terms of business, revenues, assets and market value as well as competition for talent at the senior management level) and a group of expanded reference companies composed of a broader group of oil and gas companies, including additional integrated, upstream and midstream comparators whose data provided additional market context. As part of the evaluation conducted by Meridian, a determination was made to focus the analysis largely on the core energy industry peers. This decision was based on a determination that the core peer group provided a more than sufficient amount of comparative data to consider and evaluate total compensation. This focus allowed Meridian to report on this specific core peer data comparing the levels of annual base salary, annual short-term cash bonus and long-term equity incentive awards at industry peer group companies with those of the named executive officers to ensure that compensation of the named executive officers is both consistent with the compensation philosophy and competitive with the compensation for executive officers of these other companies, while at the same time considering whether the context provided by the expanded group offered additional information that should be considered by the Compensation Committee. The core identified companies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Peer Group:</w:t>
            </w:r>
          </w:p>
        </w:tc>
        <w:tc>
          <w:tcPr>
            <w:tcW w:w="7080" w:type="dxa"/>
            <w:vAlign w:val="bottom"/>
          </w:tcPr>
          <w:p>
            <w:pPr>
              <w:spacing w:after="0"/>
              <w:rPr>
                <w:sz w:val="20"/>
                <w:szCs w:val="20"/>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Conoco Phillips</w:t>
            </w:r>
          </w:p>
        </w:tc>
        <w:tc>
          <w:tcPr>
            <w:tcW w:w="70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 Marathon Petroleum Corporation</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Enterprise Products Partners, L.P.</w:t>
            </w:r>
          </w:p>
        </w:tc>
        <w:tc>
          <w:tcPr>
            <w:tcW w:w="7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 Kinder Morgan, Inc.</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Plains All American Pipeline, L.P.</w:t>
            </w:r>
          </w:p>
        </w:tc>
        <w:tc>
          <w:tcPr>
            <w:tcW w:w="70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 The Williams Companies, Inc.</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Valero Energy Corporation</w:t>
            </w:r>
          </w:p>
        </w:tc>
        <w:tc>
          <w:tcPr>
            <w:tcW w:w="7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 Phillips 66</w:t>
            </w:r>
          </w:p>
        </w:tc>
      </w:tr>
    </w:tbl>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analysis provided by Meridian covered all major components of total compensation, including annual base salary, annual short-term cash bonus and long-term incentive awards for the senior executives. In preparing the review materials, Meridian utilized generally accepted compensation principles and gathered data from public disclosures of peer companies, including Form 10-K and proxy data and published survey data from multiple sources that are relevant to Energy Transfer’s core peer group, industry, financial size and operational breadth. The Meridian review process also included significant engagement with management to fully understand job scope, responsibilities and roles of each of the executive officers, which discussions allow Meridian the ability to completely evaluate specific aspects of an executive officer’s position to allow for more accurate comparisons.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Meridian’s 2021 review, the Energy Transfer Compensation Committee reviewed the information provided, including Meridian’s specific conclusions and recommended considerations for all compensation going forward. The Energy Transfer Compensation Committee considered and reviewed the results of the study performed by Meridian to determine if the results indicated that the compensation programs were yielding a competitive total compensation model prioritizing incentive-based compensation and rewarding achievement of short and long-term performance objectives and considered Meridian’s conclusions and recommendations. While Meridian found that the Partnership is achieving its stated objectives with respect to the “at-risk” approach, they also found that certain adjustments could be considered moving forward to allow the Partnership to continue to achieve its targeted percentiles on base compensation and incentive compensation (short and long-term). Certain of Meridian’s suggested adjustments as part of the review were implemented and others were determined to require additional review and consideration.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information received as part of Meridian’s review, the Energy Transfer Compensation Committee also utilizes information obtained from other sources in its determination of compensation levels for our named executive officers, such as annual third-party surveys, although third-party survey data is not used by the Energy Transfer Compensation Committee to benchmark the amount of total compensation or any specific element of compensation for the named executive officers.</w:t>
      </w:r>
    </w:p>
    <w:p>
      <w:pPr>
        <w:spacing w:after="0" w:line="1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designed to provide for a competitive fixed level of pay that attracts and retains executive officers and compensates them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40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market) and are determined by the Energy Transfer Compensation Committee after taking into account the recommendations of Mr. Warren.</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merit review process, the Energy Transfer Compensation Committee considers the recommendations of Mr. Warren, any relevant compensation study data (with the data aged as appropriate) and the merit increase pool set for all employees of the Partnership and/or its employing affiliates. During 2022, the Energy Transfer Compensation Committee approved a 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to the base salary of Mr. McCrea to $1,399,320 from the prior level of $1,345,500; a 4% increase to the base salary of Mr. Long to $1,399,320 from the previous level of $1,345,500; an approximately 4% increase to the base salary of Mr. Whitehurst to $640,425 from the previous level of $615,825; and an approximately 4% increase to the base salary of Mr. Mason to $679,695 from the previous level of $653,495.</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his promotion to Group Chief Financial Officer effective November 11, 2022, the Energy Transfer Compensation Committee had previously approved an increase in the annual base salary of Mr. Bramhall to $575,000 from its previous level of $425,000. In connection with his promotion to General Counsel effective November 30, 2022, the Energy Transfer Compensation Committee approved an increase in the annual base salary of Mr. Wright to $550,000 from its previous level of $475,000.</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In addition to base salary, the Energy Transfer Compensation Committee makes determinations whether to make discretionary annual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awards to executives, including our named executive officers, following the end of the year under the Bonus Plan.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Bonus Plan is a discretionary annual cash bonus plan available to all employees, including the named executive officers. The purpose of the Bonus Plan is to reward employees for contributions towards the Partnership’s business goals and to aid in motivating employees. The Bonus Plan is administered by the Energy Transfer Compensation Committee and the Energy Transfer Compensation Committee has the authority to establish and interpret the rules and regulations relating to the Bonus Plan, to select participants, to determine and approve the size of any actual award amount, to make all determinations, including factual determinations, under the Bonus Plan, and to take all other actions necessary or appropriate for the proper administration of the Bonus Plan.</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each calendar year or any other period designated by the Energy Transfer Compensation Committee (the “Performance Period”), the Energy Transfer Compensation Committee will evaluate and determine an overall funded cash bonus pool based on achievement of (i) an internal Adjusted EBITDA target (“Adjusted EBITDA Target”), (ii) an internal distributable cash flow target (“DCF Target”) and (iii) performance of each department compared to the applicable departmental budget (“Departmental Budget Target”). For purposes of the Adjusted EBITDA Target and the DCF Target established in the Bonus Plan, the measures of Adjusted EBITDA and Distributable Cash Flow are calculated using the same definitions as used in the Partnership’s publicly reported financial information, including the Partnership’s earnings press releases, investor presentations, and annual and quarterly filings on Forms 10-K and 10-Q. The performance criteria are weighted 60% on the achievement of the Adjusted EBITDA Target, 20% on the achievement of the DCF Target and 20% on the achievement of the Departmental Budget Target (collectively, “Budget Targets”). The total amount of cash to be allocated to the funded bonus pool will range from 0% to 120% for each of the budgeted DCF Target and Adjusted EBITDA Target and will range from 0% to 100% of the Departmental Budget Target. The maximum funding of the bonus pool is 116% of the total pool target and to achieve such funding each of the Adjusted EBITDA and the DCF Target must achieve 120% funding and the Department Budget target must achieve its 100% target. 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are paid in cash as soon as practicable after the end of the Performance Period but in no event later than two and one-half months after the end of the Performance Period.</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achievement of the Budget Targets sets a bonus pool under the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Energy Transfer Compensation Committee also considers the recommendation of Mr. Warren in determining the specific annual cash bonus amounts for each of the named executive officers. The Energy Transfer Compensation Committee does not establish its own financial performance objectives in advance for purposes of determining whether to approve any annual bonuses, and it does not utilize any formulaic approach to determine annual bonuses.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Messrs. McCrea and Long, their 2022 bonus pool targets were 160% of their respective annual base earnings, consistent with their previous 2021 targets. For 2022, the Energy Transfer Compensation Committee approved short-term annual cash bonus pool targets for Messrs. Whitehurst, Bramhall and Mason of 130% of their respective annual base earnings, consistent with their previous 2021 targets. In connection with his promotion to General Counsel Mr. Wright’s bonus target for 2022 was increased 130% from its prior level of 115%.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the Energy Transfer Compensation Committee certified 2022 performance results under the Bonus Plan and authorized payment of 120% of the targeted pool. This bonus payout reflected the achievement of 110% of the Adjusted EBITDA Target, 116% of the DCF Target and 94% of, or $47 million under, the Department Budget Target. The Energy Transfer Compensation Committee also used its discretion under the Bonus Plan to exceed the 110% of the achieved pool target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 and approved a total payout of 120% of the targeted pool amount. The funding of the 120% target was authorized as a result of the significant achievements above the targeted performance metrics.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approved results, the Energy Transfer Compensation Committee approved a cash bonus relating to the 2022 calendar year to Messrs. McCrea, Long, Bramhall, Whitehurst, Mason and Wright in the amounts of $2,635,027, $2,635,027, $700,000, $950,000, $1,040,900 and $762,540, respectively.</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Energy Transfer maintains and operates (i) the Second Amended and Restated Energy Transfer LP 2008 Incentive Plan (the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(ii) the Energy Transfer LP 2011 Long-Term Incentive Plan (the “2011 Incentive Plan”); the (iii) Energy Transfer LP 2015 Long-Term Incentive Plan (the “2015 Plan”); (iv) the Amended and Restated Energy Transfer LP Long-Term Incentive Plan (the “Energy Transfer Plan,” together with the 2008 Incentive Plan, the 2011 Incentive Plan and the 2015 Plan, the “Energy Transfer Incentive Plans”). The Energy Transfer Incentive Plans authorize the Energy Transfer Compensation Committee, in its discretion, to grant awards, as applicable, under each respective plan of RSUs upon such terms and conditions as it may determine appropriate and in accordance with general guidelines as defined by the Energy Transfer Incentive Plans. Energy Transfer has generally used time-vested restricted units and/or phantom units as the vehicle for its annual equity awards to eligible employees, including the named executive officers.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2020, Energy Transfer adopted the Energy Transfer LP Long-Term Cash Restricted Unit Plan (the “CRU Plan”). The CRU Plan authorizes the Energy Transfer Compensation Committee, in its discretion, to grant awards, as applicable, of CRSUs, upon such terms and conditions as it may determine appropriate and in accordance with general guidelines as defined by the CRU Plan. Like awards from the Energy Transfer Incentive Plans, awards from the CRU Plan will be used to incentivize and reward eligible employees over a long-term basis, and the CRU Plan is included for purposes of these discussions as an “Energy Transfer Incentive Plan.”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2022, the Energy Transfer Compensation Committee established long-term incentive targets for Messrs. McCrea and Long of 900% of their annual base earnings, consistent with their previous targets. In connection with his promotion to Group Chief Financial Officer effective November 11, 2022, the Energy Transfer Compensation Committee established the long-term incentive target for Mr. Bramhall of 500% of his annual base earnings, which was an increase from his previous target of 300% of annual base earnings. For 2022, the Energy Transfer Compensation Committee approved long-term incentive targets for Messrs. Whitehurst, Mason and Wright of 500%, 500% and 300%, respectively, of their respective annual base earnings, consistent with their previous targets.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 long-term incentive targets are used as the basis to determine the target number of units to be awarded to the eligible participant, including the named executive officers. A multiple of base salary is used to set the pool target, that number is then divided by a weighted average price determined by considering Energy Transfer’s modified total unitholder return (“TUR”) performance as measured against the average return of Energy Transfer’s identified peer group over defined time periods. The modified TUR is designed to create a recognition of a performance adjustment to the equity awards based on the prior periods measured to add an element of performance impact in setting grant date value even though the RSUs and CRSUs themselves are time-vested vehicles. For purposes of establishing an initial price, Energy Transfer utilizes a 60 trading-day trailing weighted average price of Energy Transfer common units prior to November 1, 2022. This average trading price is then subject to adjustment when Energy Transfer’s TUR is more than 5% greater or less than that of its identified peer group. If the TUR analysis yields a result that is within 5% percent of its identified peer group, the Energy Transfer Compensation Committee will simply use the 60 trading day trailing weighted average price divided by the applicable salary multiple to establish a target pool for each eligible participant, including the named executive officers. If Energy Transfer’s TUR is outside of the 5% deviation, the 60 trading day trailing weighted average will be adjusted up or down to a maximum of 15% from the trailing weighted average price based on Energy Transfer’s performance as compared to the identified group. For 2022, the peer group included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Enterprise Products Partners, L.P.</w:t>
            </w:r>
          </w:p>
        </w:tc>
        <w:tc>
          <w:tcPr>
            <w:tcW w:w="71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Plains All American Pipeline, L.P.</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The Williams Companies, Inc.</w:t>
            </w:r>
          </w:p>
        </w:tc>
        <w:tc>
          <w:tcPr>
            <w:tcW w:w="71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MPLX LP</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Kinder Morgan, Inc.</w:t>
            </w:r>
          </w:p>
        </w:tc>
        <w:tc>
          <w:tcPr>
            <w:tcW w:w="71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the Partnership’s TUR outperformed the identified peer group by approximately 35% based on the average of the identified comparison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the 2022 long-term incentive base price was decreased to increase the total available restricted pool by the maximum of 15%.</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Energy Transfer Compensation Committee in consultation with Mr. Warren approved grants of RSUs to Messrs. McCrea, Long, Bramhall, Whitehurst, Mason and Wright of 958,950 units, 958,950 units, 175,125 units, 243,750 units, 258,788 units, and 131,250 units, respectively. The Energy Transfer Compensation Committee also approved grants of CRSUs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Messrs. McCrea, Long, Bramhall, Whitehurst, Mason and Wright of 319,650 units, 319,650 units, 58,375 units, 81,250 units, 86,262 units and 43,750 units,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RSUs granted in 2022 provide for incremental vesting over a five-year period, with 60% vesting at the end of the third year and the remaining 40% vesting at the end of the fifth year. Vesting of the awards is generally subject to continued employment through each specified vesting date. The RSU awards entitle the recipients to receive, with respect to each Energy Transfer unit subject to such award that has not either vested or been forfeited, a DER cash payment promptly following each such distribution by Energy Transfer to its common unitholders.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CRSUs granted in 2022 provide for incremental vesting over a three-year period, with 1/3 vesting at the end of each year. Each CRSU entitles the award recipient to receive cash equal to the market value of one Energy Transfer common unit upon vesting. The CRSU do not include rights to DER cash payments.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approving the grant of such RSUs and CRSUs, including to the named executive officers, the Energy Transfer Compensation Committee considered several factors, including the long-term objective of retaining such individuals as key drivers of Energy Transfer’s future success, the existing level of equity ownership of such individuals and the previous awards to such individuals of equity awards subject to vesting. Vesting of the 2022 awards would accelerate in the event of the death or disability of the recipient, including the named executive officers, or in the event of a change in control of Energy Transfer as that term is defined under the Energy Transfer Incentive Plans.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2020, Mr. McCrea did not receive an award of CRSUs; instead, he received a special one-time time vested cash award of $5,000,000 payable as follows:</w:t>
      </w:r>
    </w:p>
    <w:p>
      <w:pPr>
        <w:spacing w:after="0" w:line="54" w:lineRule="exact"/>
        <w:rPr>
          <w:sz w:val="20"/>
          <w:szCs w:val="20"/>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 on December 31, 2020;</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on July 1, 2021;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on December 5, 2022.</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amount is intended to approximate 50% of Mr. McCrea’s targeted annual equity award and replace the award of CRSUs made to other named executive officers. The last payment of $1,600,000 was made during 2022.</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“Potential Payments Upon a Termination or Change of Control,” all outstanding equity awards would automatically accelerate upon a change in control event, which means vesting automatically accelerates upon a change of control irrespective of whether the officer is terminated. In addition, the award agreements for the RSUs and CRSUs awarded in 2020, as well as other awards outstanding held by Partnership employees, including the named executive officers, also include certain acceleration provisions upon retirement with the ability to accelerate 40% of outstanding unvested awards under the Energy Transfer Incentive Plans at age 65 and 50% at age 68. These acceleration provisions require that the participant have not less than five (5) years of employment service to the Partnership or an affiliate and are subject to the applicable provisions of IRC Section 409(A), which may include a six (6) month delay in the vesting after retirement.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 addition, we believe permitting acceleration of vesting upon a change in control creates a sense of stability in the course of transactions that could create uncertainty regarding their future employment and encourage these officers to remain focused on their job responsibilities.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Affiliate and Subsidiary Equity Awards. </w:t>
      </w:r>
      <w:r>
        <w:rPr>
          <w:rFonts w:ascii="Times New Roman" w:cs="Times New Roman" w:eastAsia="Times New Roman" w:hAnsi="Times New Roman"/>
          <w:sz w:val="18"/>
          <w:szCs w:val="18"/>
          <w:color w:val="auto"/>
        </w:rPr>
        <w:t>In addition to his role as an officer for Energy Transfer during 2022, Mr. Bramhall has certain responsibilities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Sunoco LP, including a leadership role for certain shared service functions.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Sunoco LP Compensation Committee in December 2022 approved a grant of RSUs to Mr. Bramhall of 14,200 restricted units, under the 2018 Sunoco LP Plan. The terms and conditions of the restricted unit to Mr. Bramhall under the 2018 Sunoco LP Plan provided for vesting over a five-year period, with 60% vesting at the end of the third year and the remaining 40% vesting at the end of the fifth year, subject generally to continued employment through each specified vesting date. All of the award would be accelerated in the event of his death or disability, or upon a change in control. The retirement acceleration provisions for this award under the 2018 Sunoco LP Plan are the same as the retirement acceleration provisions under Energy Transfer Incentive Plans with the ability to accelerate at retirement 40% of outstanding unvested awards at age 65 and 50% at age 68.</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One-Time Awards to Co-Chief Executive Officers. </w:t>
      </w:r>
      <w:r>
        <w:rPr>
          <w:rFonts w:ascii="Times New Roman" w:cs="Times New Roman" w:eastAsia="Times New Roman" w:hAnsi="Times New Roman"/>
          <w:sz w:val="18"/>
          <w:szCs w:val="18"/>
          <w:color w:val="auto"/>
        </w:rPr>
        <w:t>In recognition of their assumption of their new roles as Co-Chief Executive Officers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2021, the Energy Transfer Compensation Committee approved certain one-time awards to Messrs. McCrea and Long.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McCrea received a special one-time award of 241,815 RSUs under the Energy Transfer Incentive Plans and a special cash payment of $1,625,000 in connection with his appointment as Co-Chief Executive Officer, effective January 1,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Long received a special one-time award of 483,630 RSUs under the Energy Transfer Incentive Plans in connection with his appointment as Co-Chief Executive Officer, effective January 1, 2021.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RSU awards to Messrs. McCrea and Long were made at the same grant date valuation and vesting schedules used for the annual equity awards described above under “—Equity Awards” section above. These awards were approved by the Energy Transfer Compensation Committee on December 30, 2020 to be effective immediately upon Messrs. McCrea and Long assuming their new roles on January 1, 2021 and are reflected as compensation in 2021 in the Compensation Tables section below.</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Unit Ownership Guidelines. </w:t>
      </w:r>
      <w:r>
        <w:rPr>
          <w:rFonts w:ascii="Times New Roman" w:cs="Times New Roman" w:eastAsia="Times New Roman" w:hAnsi="Times New Roman"/>
          <w:sz w:val="18"/>
          <w:szCs w:val="18"/>
          <w:color w:val="auto"/>
        </w:rPr>
        <w:t>In 2021, the Board of Directors of our General Partner adopted an update to the Executive Unit Ownership Guidelines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which sets forth minimum ownership guidelines applicable to certain executives of Energy Transfer with respect to Energy Transfer and Sunoco LP common units, as applicable. The applicable Guidelines are denominated as a multiple of base salary, and the amount of common units required to be owned increases with the level of responsibility. Under these Guidelines, (i) the Chief Executive Officer/Co-Chief Executive Officer(s) are expected to own common units having a minimum value of six times base salary; (ii) the Chief Operating Officer, the Chief Financial Officer, the General Counsel and other C-Suite executives expected to own common units having a minimum value of four times their respective base salary; and (iii) Senior Vice Presidents are expected to own common units having a minimum value of two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one to four times their respective base salary.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Energy Transfer Compensation Committee believes that the ownership of Energy Transfer and/or Sunoco LP common units, as reflected in these Guidelines, is an important means of tying the financial risks and rewards for its executives to Energy Transfer’s total unitholder return, aligning the interests of such executives with those of Unitholders, and promoting Energy Transfer’s interest in good corporate governance.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Covered executives are generally required to achieve their ownership level within five years of becoming subject to the Guidelines. As of December 31, 2022, all of the named executive officers were compliant with the level required of the Guidelines as of that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Covered executives may satisfy the Guidelines through direct ownership of Energy Transfer and/or Sunoco LP common units or indirect ownership by certain immediate family members. Direct or indirect ownership of Energy Transfer and/or Sunoco LP common units shall count on a one-to-one ratio for purposes of satisfying minimum ownership requirements; however, unvested unit awards may not be used to satisfy the minimum ownership requirements.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 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Qualified Retirement Plan Benefits</w:t>
      </w:r>
      <w:r>
        <w:rPr>
          <w:rFonts w:ascii="Times New Roman" w:cs="Times New Roman" w:eastAsia="Times New Roman" w:hAnsi="Times New Roman"/>
          <w:sz w:val="18"/>
          <w:szCs w:val="18"/>
          <w:color w:val="auto"/>
        </w:rPr>
        <w:t>. The Energy Transfer LP 401(k) Plan (the “Energy Transfer 401(k) Plan”) is a defined contribution 401(k) plan,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covers 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During 2020, in response to challenging conditions within the industry, including impacts of the COVID-19 pandemic, Energy Transfer suspended its 401(k) matching contribution from July 1, 2020 through December 31, 2020.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 As with the 401(k) matching contributions, Energy Transfer suspended the profit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sharing contribution from July 1, 2020 through December 31, 2020; however, the profit sharing contributions were reinstated for the full year 2021 and continued throughout 2022.</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Health and Welfare Benefits</w:t>
      </w:r>
      <w:r>
        <w:rPr>
          <w:rFonts w:ascii="Times New Roman" w:cs="Times New Roman" w:eastAsia="Times New Roman" w:hAnsi="Times New Roman"/>
          <w:sz w:val="18"/>
          <w:szCs w:val="18"/>
          <w:color w:val="auto"/>
        </w:rPr>
        <w:t>. All full-time employees, including our named executive officers may participate in the Partnership’s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programs including medical, dental, vision, flexible spending, life insurance and disability insurance.</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Benefits. </w:t>
      </w:r>
      <w:r>
        <w:rPr>
          <w:rFonts w:ascii="Times New Roman" w:cs="Times New Roman" w:eastAsia="Times New Roman" w:hAnsi="Times New Roman"/>
          <w:sz w:val="18"/>
          <w:szCs w:val="18"/>
          <w:color w:val="auto"/>
        </w:rPr>
        <w:t>Our named executive officers do not have any employment agreements that call for payments of termination or severance benefits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for any payments in the event of a change in control of our General Partner; however, the award agreement to the named executive officers under the Energy Transfer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2021 the Partnership has also adopted the Partnership Severance Plan and Summary Plan Description effective as of December 1, 2021,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Energy Transfer LP Non-Qualified Deferred Compensation Plan </w:t>
      </w:r>
      <w:r>
        <w:rPr>
          <w:rFonts w:ascii="Times New Roman" w:cs="Times New Roman" w:eastAsia="Times New Roman" w:hAnsi="Times New Roman"/>
          <w:sz w:val="18"/>
          <w:szCs w:val="18"/>
          <w:color w:val="auto"/>
        </w:rPr>
        <w:t>(the “Energy Transfer NQDC Plan”) is a deferred compensation plan, which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highly compensated employees to defer a portion of their salary, bonus, and/or quarterly non-vested phantom unit distribution equivalent income until retirement, termination of employment or other designated distribution event. Each year under the Energy Transfer NQDC Plan, eligible employees are permitted to make an irrevocable election to defer up to 50% of their annual base salary, 50% of their quarterly non-vested phantom unit distribution income, and/or 50% of their discretionary performance bonus compensation during the following year. Pursuant to the Energy Transfer NQDC Plan, Energy Transfer may make annual discretionary matching contributions to participants’ accounts; however, Energy Transfer has not made any discretionary contributions to participants’ accounts and currently has no plans to make any discretionary contributions to participants’ accounts. All amounts credited under the Energy Transfer NQDC Plan (other than discretionary credits) are immediately 100% vested. Participant accounts are credited with deemed earnings or losses based on hypothetical investment fund choices made by the participants among available funds.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lump-sum in-service withdrawals five years or longer in the future, and such scheduled in-service withdrawals may be further deferred prior to the withdrawal date. Upon a change in control (as defined in the Energy Transfer NQDC Plan) of Energy Transfer, all Energy Transfer NQDC Plan accounts are immediately vested in full. However, distributions are not accelerated and, instead, are made in accordance with the Energy Transfer NQDC Plan’s normal distribution provisions unless a participant has elected to receive a change of control distribution pursuant to his deferral agreement.</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Risk Assessment Related to our Compensation Structure</w:t>
      </w:r>
      <w:r>
        <w:rPr>
          <w:rFonts w:ascii="Times New Roman" w:cs="Times New Roman" w:eastAsia="Times New Roman" w:hAnsi="Times New Roman"/>
          <w:sz w:val="18"/>
          <w:szCs w:val="18"/>
          <w:color w:val="auto"/>
        </w:rPr>
        <w:t>. We believe that the compensation plans and programs for our named executive officers,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 Finally, the time-based vesting over five years for our long-term incentive awards ensures that the interests of employees align with those of Unitholders and our subsidiaries’ unitholders for our long-term performance.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right="51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Tax and Accounting Implications of Equity-Based Compensation Arrangements </w:t>
      </w:r>
      <w:r>
        <w:rPr>
          <w:rFonts w:ascii="Times New Roman" w:cs="Times New Roman" w:eastAsia="Times New Roman" w:hAnsi="Times New Roman"/>
          <w:sz w:val="18"/>
          <w:szCs w:val="18"/>
          <w:i w:val="1"/>
          <w:iCs w:val="1"/>
          <w:color w:val="auto"/>
        </w:rPr>
        <w:t>Deductibility of Executive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Non-Cash Compensation</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non-cash compensation arrangements, we record compensation expense over the vesting period of the awards, as discussed further in Note 2 and Note 9 to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Steven R. Anderson and Mr. Michael K. Grimm are the only members of the Energy Transfer Compensation Committee. Mr. Ray W. Washburne also served as a member of the Compensation Committee prior to his resignation from the board of directors of our General Partner effective April 1, 2022. During 2022, no member of the Energy Transfer Compensation Committee was an officer or employee of us or any of our subsidiaries or served as an officer of any company with respect to which any of our executive officers served on such company’s board of directors. Neither Mr. Grimm nor Mr. Washburne is a former employee of ours or any of our subsidiaries. Mr. Anderson was previously an employee of the Partnership until his retirement in October 2009, as discussed in his biographical information included in “Item 10. Directors, Executive Officers and Corporate Governance.”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Compensation Committee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of our General Partner has reviewed and discussed the section entitled “Compensation Discussion and Analysis” with the management of Energy Transfer. Based on this review and discussion, we have recommended that the Compensation Discussion and Analysis be included in this annual report on Form 10-K.</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Compensation Committee of the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Board of Directors of LE GP, LLC,</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general partner of Energy Transfer LP</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Steven R. Anderson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Michael K. Grimm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report shall not be deemed to be incorporated by reference by any general statement or reference to this annual report on Form 10-K into any filing under the Securities Act of 1933, as amended, or the Exchange Act, except to the extent that we specifically incorporate this information by reference, and shall not otherwise be deemed filed under those Acts.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Change in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Pension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Non-Equity</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w w:val="97"/>
              </w:rPr>
              <w:t>Value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Nonqualified</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All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Salary</w:t>
            </w:r>
          </w:p>
        </w:tc>
        <w:tc>
          <w:tcPr>
            <w:tcW w:w="140" w:type="dxa"/>
            <w:vAlign w:val="bottom"/>
          </w:tcPr>
          <w:p>
            <w:pPr>
              <w:spacing w:after="0"/>
              <w:rPr>
                <w:sz w:val="12"/>
                <w:szCs w:val="12"/>
                <w:color w:val="auto"/>
              </w:rPr>
            </w:pPr>
          </w:p>
        </w:tc>
        <w:tc>
          <w:tcPr>
            <w:tcW w:w="9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Bonus</w:t>
            </w: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Incentive Plan</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Deferred</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Name and Principal Position</w:t>
            </w:r>
          </w:p>
        </w:tc>
        <w:tc>
          <w:tcPr>
            <w:tcW w:w="100" w:type="dxa"/>
            <w:vAlign w:val="bottom"/>
          </w:tcPr>
          <w:p>
            <w:pPr>
              <w:spacing w:after="0"/>
              <w:rPr>
                <w:sz w:val="12"/>
                <w:szCs w:val="12"/>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6"/>
              </w:rPr>
              <w:t xml:space="preserve">Awards </w:t>
            </w:r>
            <w:r>
              <w:rPr>
                <w:rFonts w:ascii="Times New Roman" w:cs="Times New Roman" w:eastAsia="Times New Roman" w:hAnsi="Times New Roman"/>
                <w:sz w:val="17"/>
                <w:szCs w:val="17"/>
                <w:color w:val="auto"/>
                <w:w w:val="96"/>
                <w:vertAlign w:val="superscript"/>
              </w:rPr>
              <w:t>(1)</w:t>
            </w: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Compensation</w:t>
            </w:r>
            <w:r>
              <w:rPr>
                <w:rFonts w:ascii="Times New Roman" w:cs="Times New Roman" w:eastAsia="Times New Roman" w:hAnsi="Times New Roman"/>
                <w:sz w:val="9"/>
                <w:szCs w:val="9"/>
                <w:color w:val="auto"/>
              </w:rPr>
              <w:t>(2)</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 xml:space="preserve">Compensation </w:t>
            </w:r>
            <w:r>
              <w:rPr>
                <w:rFonts w:ascii="Times New Roman" w:cs="Times New Roman" w:eastAsia="Times New Roman" w:hAnsi="Times New Roman"/>
                <w:sz w:val="17"/>
                <w:szCs w:val="17"/>
                <w:color w:val="auto"/>
                <w:vertAlign w:val="superscript"/>
              </w:rPr>
              <w:t>(3)</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Earnings ($)</w:t>
            </w:r>
          </w:p>
        </w:tc>
        <w:tc>
          <w:tcPr>
            <w:tcW w:w="100" w:type="dxa"/>
            <w:vAlign w:val="bottom"/>
          </w:tcPr>
          <w:p>
            <w:pPr>
              <w:spacing w:after="0"/>
              <w:rPr>
                <w:sz w:val="17"/>
                <w:szCs w:val="17"/>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E. Long</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1,372,410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14,344,161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2,635,027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18,375,515</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Co-Chief Executive Officer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1,322,750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15,224,039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19,730,203</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2,781,255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3,425,935</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Marshall S. (Mackie) McCrea, III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1,372,410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14,344,161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2,635,027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19,974,392</w:t>
            </w:r>
          </w:p>
        </w:tc>
        <w:tc>
          <w:tcPr>
            <w:tcW w:w="0" w:type="dxa"/>
            <w:vAlign w:val="bottom"/>
          </w:tcPr>
          <w:p>
            <w:pPr>
              <w:spacing w:after="0"/>
              <w:rPr>
                <w:sz w:val="1"/>
                <w:szCs w:val="1"/>
                <w:color w:val="auto"/>
              </w:rPr>
            </w:pPr>
          </w:p>
        </w:tc>
      </w:tr>
      <w:tr>
        <w:trPr>
          <w:trHeight w:val="202"/>
        </w:trPr>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Co-Chief Executive Officer</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13,734,458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21,460,652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4,597,516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7,572,984</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Dylan A. Bramhall</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3,241,514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4,387,620</w:t>
            </w:r>
          </w:p>
        </w:tc>
        <w:tc>
          <w:tcPr>
            <w:tcW w:w="0" w:type="dxa"/>
            <w:vAlign w:val="bottom"/>
          </w:tcPr>
          <w:p>
            <w:pPr>
              <w:spacing w:after="0"/>
              <w:rPr>
                <w:sz w:val="1"/>
                <w:szCs w:val="1"/>
                <w:color w:val="auto"/>
              </w:rPr>
            </w:pPr>
          </w:p>
        </w:tc>
      </w:tr>
      <w:tr>
        <w:trPr>
          <w:trHeight w:val="193"/>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Group Chief Financial Officer</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Bradford D. Whitehurst</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3,646,060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5,242,695</w:t>
            </w:r>
          </w:p>
        </w:tc>
        <w:tc>
          <w:tcPr>
            <w:tcW w:w="0" w:type="dxa"/>
            <w:vAlign w:val="bottom"/>
          </w:tcPr>
          <w:p>
            <w:pPr>
              <w:spacing w:after="0"/>
              <w:rPr>
                <w:sz w:val="1"/>
                <w:szCs w:val="1"/>
                <w:color w:val="auto"/>
              </w:rPr>
            </w:pPr>
          </w:p>
        </w:tc>
      </w:tr>
      <w:tr>
        <w:trPr>
          <w:trHeight w:val="163"/>
        </w:trPr>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Executive Vice President – Tax and</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3,102,694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4,897,867</w:t>
            </w:r>
          </w:p>
        </w:tc>
        <w:tc>
          <w:tcPr>
            <w:tcW w:w="0" w:type="dxa"/>
            <w:vAlign w:val="bottom"/>
          </w:tcPr>
          <w:p>
            <w:pPr>
              <w:spacing w:after="0"/>
              <w:rPr>
                <w:sz w:val="1"/>
                <w:szCs w:val="1"/>
                <w:color w:val="auto"/>
              </w:rPr>
            </w:pPr>
          </w:p>
        </w:tc>
      </w:tr>
      <w:tr>
        <w:trPr>
          <w:trHeight w:val="188"/>
        </w:trPr>
        <w:tc>
          <w:tcPr>
            <w:tcW w:w="2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Initiatives</w:t>
            </w: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581,202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2,596,850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3,194,276</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P. Mason</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3,870,995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5,600,407</w:t>
            </w:r>
          </w:p>
        </w:tc>
        <w:tc>
          <w:tcPr>
            <w:tcW w:w="0" w:type="dxa"/>
            <w:vAlign w:val="bottom"/>
          </w:tcPr>
          <w:p>
            <w:pPr>
              <w:spacing w:after="0"/>
              <w:rPr>
                <w:sz w:val="1"/>
                <w:szCs w:val="1"/>
                <w:color w:val="auto"/>
              </w:rPr>
            </w:pPr>
          </w:p>
        </w:tc>
      </w:tr>
      <w:tr>
        <w:trPr>
          <w:trHeight w:val="154"/>
        </w:trPr>
        <w:tc>
          <w:tcPr>
            <w:tcW w:w="252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Executive Vice President – Alternative</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642,445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3"/>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3,279,498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5,196,649</w:t>
            </w:r>
          </w:p>
        </w:tc>
        <w:tc>
          <w:tcPr>
            <w:tcW w:w="0" w:type="dxa"/>
            <w:vAlign w:val="bottom"/>
          </w:tcPr>
          <w:p>
            <w:pPr>
              <w:spacing w:after="0"/>
              <w:rPr>
                <w:sz w:val="1"/>
                <w:szCs w:val="1"/>
                <w:color w:val="auto"/>
              </w:rPr>
            </w:pPr>
          </w:p>
        </w:tc>
      </w:tr>
      <w:tr>
        <w:trPr>
          <w:trHeight w:val="94"/>
        </w:trPr>
        <w:tc>
          <w:tcPr>
            <w:tcW w:w="25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Energy and President – LNG</w:t>
            </w:r>
          </w:p>
        </w:tc>
        <w:tc>
          <w:tcPr>
            <w:tcW w:w="10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655,680</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3"/>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2,609,350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3,285,037</w:t>
            </w:r>
          </w:p>
        </w:tc>
        <w:tc>
          <w:tcPr>
            <w:tcW w:w="0" w:type="dxa"/>
            <w:vAlign w:val="bottom"/>
          </w:tcPr>
          <w:p>
            <w:pPr>
              <w:spacing w:after="0"/>
              <w:rPr>
                <w:sz w:val="1"/>
                <w:szCs w:val="1"/>
                <w:color w:val="auto"/>
              </w:rPr>
            </w:pPr>
          </w:p>
        </w:tc>
      </w:tr>
      <w:tr>
        <w:trPr>
          <w:trHeight w:val="166"/>
        </w:trPr>
        <w:tc>
          <w:tcPr>
            <w:tcW w:w="2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3"/>
            <w:vMerge w:val="continue"/>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M. Wright, Jr.</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1,963,263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3,252,281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Executive Vice President, General</w:t>
      </w:r>
    </w:p>
    <w:p>
      <w:pPr>
        <w:ind w:left="360"/>
        <w:spacing w:after="0" w:line="206" w:lineRule="auto"/>
        <w:rPr>
          <w:sz w:val="20"/>
          <w:szCs w:val="20"/>
          <w:color w:val="auto"/>
        </w:rPr>
      </w:pPr>
      <w:r>
        <w:rPr>
          <w:rFonts w:ascii="Times New Roman" w:cs="Times New Roman" w:eastAsia="Times New Roman" w:hAnsi="Times New Roman"/>
          <w:sz w:val="14"/>
          <w:szCs w:val="14"/>
          <w:color w:val="auto"/>
        </w:rPr>
        <w:t>Counsel and Chief Compliance</w:t>
      </w:r>
    </w:p>
    <w:p>
      <w:pPr>
        <w:ind w:left="360"/>
        <w:spacing w:after="0"/>
        <w:rPr>
          <w:sz w:val="20"/>
          <w:szCs w:val="20"/>
          <w:color w:val="auto"/>
        </w:rPr>
      </w:pPr>
      <w:r>
        <w:rPr>
          <w:rFonts w:ascii="Times New Roman" w:cs="Times New Roman" w:eastAsia="Times New Roman" w:hAnsi="Times New Roman"/>
          <w:sz w:val="14"/>
          <w:szCs w:val="14"/>
          <w:color w:val="auto"/>
        </w:rPr>
        <w:t>Officer</w:t>
      </w:r>
    </w:p>
    <w:p>
      <w:pPr>
        <w:spacing w:after="0" w:line="219" w:lineRule="exact"/>
        <w:rPr>
          <w:sz w:val="20"/>
          <w:szCs w:val="20"/>
          <w:color w:val="auto"/>
        </w:rPr>
      </w:pPr>
    </w:p>
    <w:p>
      <w:pPr>
        <w:jc w:val="both"/>
        <w:ind w:left="340" w:hanging="332"/>
        <w:spacing w:after="0" w:line="243" w:lineRule="auto"/>
        <w:tabs>
          <w:tab w:leader="none" w:pos="328" w:val="left"/>
        </w:tabs>
        <w:numPr>
          <w:ilvl w:val="0"/>
          <w:numId w:val="1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award amounts reflect the aggregate grant date fair value of unit awards granted for the periods presented, computed in accordance with FASB ASC Topic 718, disregarding any estimates for forfeitures. For Messrs. Long, Bramhall and Whitehurst amounts for one or more periods include equity awards of our subsidiary, Sunoco LP, as reflected in the “Grants of Plan-Based Awards Table.” See Note 9 to our consolidated financial statements included in “Item 8. Financial Statements and Supplementary Data” for additional assumptions underlying the value of the equity awards. Although the CRSU awards may only be settled in cash, they are based upon the value of Energy Transfer common units and are accounted for as equity awards within these compensation tables.</w:t>
      </w:r>
    </w:p>
    <w:p>
      <w:pPr>
        <w:spacing w:after="0" w:line="88"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Energy Transfer maintains the Bonus Plan which provides for discretionary bonuses. Awards of discretionary bonuses are tied to achievement of targeted performance objectives and described in the Compensation Discussion and Analysis.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1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reflected for 2022 in this column include (i) matching contributions to the Energy Transfer 401(k) Plan made on behalf of the named executive officers of $15,250 each for Messrs. Long, McCrea, Bramhall, Whitehurst, Mason and Wright, and (ii) health savings account contributions made on behalf of the named executive officers of $2,000 each for Messrs. Long, McCrea, Whitehurst and Wright, and (iii) 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2022, distribution payments in connection with distribution equivalent rights totaled $2,072,643 for Mr. Long, $2,826,685 for Mr. McCrea, $340,120 for Mr. Bramhall, $798,532 for Mr. Whitehurst, $791,164 for Mr. Mason, and $334,890 for Mr. Wright; these amounts include distribution payments on Sunoco LP unit awards for those executives with such unvested awards.</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1" w:lineRule="auto"/>
        <w:tabs>
          <w:tab w:leader="none" w:pos="328" w:val="left"/>
        </w:tabs>
        <w:numPr>
          <w:ilvl w:val="0"/>
          <w:numId w:val="1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reflected in the bonus column for Mr. McCrea includes the second payment of Mr. McCrea’s time-vested cash award, which award represented 50% of Mr. McCrea’s total equity award target in 2020. These bonus amounts were paid as follows: $1,800,000 on December 31, 2020, $1,600,000 on July 1, 2021 and $1,600,000 on December 5, 2022. For 2021, the bonus amount reflected above also includes the vesting and payment on February 1, 2021 of a one-time, time-vested cash award of $1,625,000 to Mr. McCrea, which was originally granted in October 2020 in connection with Mr. McCrea’s assumption of his role as Co-Chief Executive Officer.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in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Unit Awards: Number</w:t>
            </w:r>
          </w:p>
        </w:tc>
        <w:tc>
          <w:tcPr>
            <w:tcW w:w="100" w:type="dxa"/>
            <w:vAlign w:val="bottom"/>
          </w:tcPr>
          <w:p>
            <w:pPr>
              <w:spacing w:after="0"/>
              <w:rPr>
                <w:sz w:val="13"/>
                <w:szCs w:val="13"/>
                <w:color w:val="auto"/>
              </w:rPr>
            </w:pPr>
          </w:p>
        </w:tc>
        <w:tc>
          <w:tcPr>
            <w:tcW w:w="2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Grant Date Fair Value of Unit</w:t>
            </w: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2220" w:type="dxa"/>
            <w:vAlign w:val="bottom"/>
            <w:gridSpan w:val="2"/>
            <w:vMerge w:val="continue"/>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right"/>
              <w:ind w:right="66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2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Thomas E. Long</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11,219,715</w:t>
            </w: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11,219,715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Dylan A. Bramhall</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2,048,963</w:t>
            </w: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Bradford D. Whitehurst</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2,851,875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Thomas P. Mason</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3,027,820</w:t>
            </w: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James M. Wright, Jr.</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1,535,625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Cash Restricted Unit Awards: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Thomas E. Long</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3,124,446</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3,124,446</w:t>
            </w: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Dylan A. Bramhall</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570,591</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Bradford D. Whitehurst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794,185</w:t>
            </w:r>
          </w:p>
        </w:tc>
        <w:tc>
          <w:tcPr>
            <w:tcW w:w="0" w:type="dxa"/>
            <w:vAlign w:val="bottom"/>
          </w:tcPr>
          <w:p>
            <w:pPr>
              <w:spacing w:after="0"/>
              <w:rPr>
                <w:sz w:val="1"/>
                <w:szCs w:val="1"/>
                <w:color w:val="auto"/>
              </w:rPr>
            </w:pPr>
          </w:p>
        </w:tc>
      </w:tr>
      <w:tr>
        <w:trPr>
          <w:trHeight w:val="195"/>
        </w:trPr>
        <w:tc>
          <w:tcPr>
            <w:tcW w:w="4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Thomas P. Mason</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843,175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James M. Wright, Jr.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427,638</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Sunoco LP Unit Awards: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Dylan A. Bramhall</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621,960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28" w:val="left"/>
        </w:tabs>
        <w:numPr>
          <w:ilvl w:val="0"/>
          <w:numId w:val="1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computed the grant date fair value of unit awards in accordance with FASB ASC Topic 718, as further described above and in Note 9 to our consolidated financial statements. For Energy Transfer cash restricted unit awards, the grant date fair value is discounted for the expected distribution yield during the vesting period, as those awards do not include distribution equivalent rights.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2022 Fiscal Year-End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tcBorders>
              <w:bottom w:val="single" w:sz="8" w:color="auto"/>
            </w:tcBorders>
            <w:gridSpan w:val="5"/>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 xml:space="preserve">Unit Awards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 That Have Not Vested</w:t>
            </w:r>
            <w:r>
              <w:rPr>
                <w:rFonts w:ascii="Times New Roman" w:cs="Times New Roman" w:eastAsia="Times New Roman" w:hAnsi="Times New Roman"/>
                <w:sz w:val="18"/>
                <w:szCs w:val="18"/>
                <w:b w:val="1"/>
                <w:bCs w:val="1"/>
                <w:color w:val="auto"/>
                <w:vertAlign w:val="superscript"/>
              </w:rPr>
              <w:t>(2)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Market or Payout Value of Units That</w:t>
            </w: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 Date</w:t>
            </w:r>
            <w:r>
              <w:rPr>
                <w:rFonts w:ascii="Times New Roman" w:cs="Times New Roman" w:eastAsia="Times New Roman" w:hAnsi="Times New Roman"/>
                <w:sz w:val="18"/>
                <w:szCs w:val="18"/>
                <w:b w:val="1"/>
                <w:bCs w:val="1"/>
                <w:color w:val="auto"/>
                <w:w w:val="97"/>
                <w:vertAlign w:val="superscript"/>
              </w:rPr>
              <w:t>(1)</w:t>
            </w:r>
          </w:p>
        </w:tc>
        <w:tc>
          <w:tcPr>
            <w:tcW w:w="10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2680" w:type="dxa"/>
            <w:vAlign w:val="bottom"/>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120" w:type="dxa"/>
            <w:vAlign w:val="bottom"/>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11,382,737</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1,121,250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13,309,238</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7,860,077</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12/16/2019</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1,020,820</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12/18/2018</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647,983</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10/19/2018</w:t>
            </w:r>
          </w:p>
        </w:tc>
        <w:tc>
          <w:tcPr>
            <w:tcW w:w="1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546,970</w:t>
            </w:r>
          </w:p>
        </w:tc>
        <w:tc>
          <w:tcPr>
            <w:tcW w:w="0" w:type="dxa"/>
            <w:vAlign w:val="bottom"/>
          </w:tcPr>
          <w:p>
            <w:pPr>
              <w:spacing w:after="0"/>
              <w:rPr>
                <w:sz w:val="1"/>
                <w:szCs w:val="1"/>
                <w:color w:val="auto"/>
              </w:rPr>
            </w:pP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11,382,737</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1,121,250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13,309,238</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988,165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11,729,519</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12/16/2019</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272,960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3,240,035</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12/18/2018</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242,296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2,876,054</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2,078,734</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989,958</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445,125</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12/16/2019</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249,270</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12/18/2018</w:t>
            </w:r>
          </w:p>
        </w:tc>
        <w:tc>
          <w:tcPr>
            <w:tcW w:w="1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213,660</w:t>
            </w:r>
          </w:p>
        </w:tc>
        <w:tc>
          <w:tcPr>
            <w:tcW w:w="0" w:type="dxa"/>
            <w:vAlign w:val="bottom"/>
          </w:tcPr>
          <w:p>
            <w:pPr>
              <w:spacing w:after="0"/>
              <w:rPr>
                <w:sz w:val="1"/>
                <w:szCs w:val="1"/>
                <w:color w:val="auto"/>
              </w:rPr>
            </w:pP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2,893,313</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2,706,360</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166,600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1,977,542</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12/16/2019</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723,120</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12/18/2018</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641,882</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P. Mason</w:t>
            </w:r>
          </w:p>
        </w:tc>
        <w:tc>
          <w:tcPr>
            <w:tcW w:w="2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258,788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3,071,814</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3,564,561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2,788,263</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12/16/2019</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1,019,870</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12/18/2018</w:t>
            </w:r>
          </w:p>
        </w:tc>
        <w:tc>
          <w:tcPr>
            <w:tcW w:w="1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76,256</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905,159</w:t>
            </w:r>
          </w:p>
        </w:tc>
        <w:tc>
          <w:tcPr>
            <w:tcW w:w="0" w:type="dxa"/>
            <w:vAlign w:val="bottom"/>
          </w:tcPr>
          <w:p>
            <w:pPr>
              <w:spacing w:after="0"/>
              <w:rPr>
                <w:sz w:val="1"/>
                <w:szCs w:val="1"/>
                <w:color w:val="auto"/>
              </w:rPr>
            </w:pP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100" w:type="dxa"/>
            <w:vAlign w:val="bottom"/>
          </w:tcPr>
          <w:p>
            <w:pPr>
              <w:spacing w:after="0"/>
              <w:rPr>
                <w:sz w:val="16"/>
                <w:szCs w:val="16"/>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1,557,938</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131,944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1,566,175</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98,755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1,172,222</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12/16/2019</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36,120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428,744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12/18/2018</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380,552</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04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Energy Transfer Cash Restricted Unit</w:t>
            </w:r>
          </w:p>
        </w:tc>
        <w:tc>
          <w:tcPr>
            <w:tcW w:w="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Thomas E. Long</w:t>
            </w: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319,650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3,179,882</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249,167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2,589,238</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646,228</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3,179,882</w:t>
            </w:r>
          </w:p>
        </w:tc>
        <w:tc>
          <w:tcPr>
            <w:tcW w:w="0" w:type="dxa"/>
            <w:vAlign w:val="bottom"/>
          </w:tcPr>
          <w:p>
            <w:pPr>
              <w:spacing w:after="0"/>
              <w:rPr>
                <w:sz w:val="1"/>
                <w:szCs w:val="1"/>
                <w:color w:val="auto"/>
              </w:rPr>
            </w:pPr>
          </w:p>
        </w:tc>
      </w:tr>
      <w:tr>
        <w:trPr>
          <w:trHeight w:val="197"/>
        </w:trPr>
        <w:tc>
          <w:tcPr>
            <w:tcW w:w="30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249,167</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2,589,241</w:t>
            </w:r>
          </w:p>
        </w:tc>
        <w:tc>
          <w:tcPr>
            <w:tcW w:w="0" w:type="dxa"/>
            <w:vAlign w:val="bottom"/>
          </w:tcPr>
          <w:p>
            <w:pPr>
              <w:spacing w:after="0"/>
              <w:rPr>
                <w:sz w:val="1"/>
                <w:szCs w:val="1"/>
                <w:color w:val="auto"/>
              </w:rPr>
            </w:pP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58,375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580,715</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192,598</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135,723</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2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808,276</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526,511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602,981</w:t>
            </w:r>
          </w:p>
        </w:tc>
        <w:tc>
          <w:tcPr>
            <w:tcW w:w="0" w:type="dxa"/>
            <w:vAlign w:val="bottom"/>
          </w:tcPr>
          <w:p>
            <w:pPr>
              <w:spacing w:after="0"/>
              <w:rPr>
                <w:sz w:val="1"/>
                <w:szCs w:val="1"/>
                <w:color w:val="auto"/>
              </w:rPr>
            </w:pPr>
          </w:p>
        </w:tc>
      </w:tr>
      <w:tr>
        <w:trPr>
          <w:trHeight w:val="24"/>
        </w:trPr>
        <w:tc>
          <w:tcPr>
            <w:tcW w:w="3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Thomas P. Mason</w:t>
            </w: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12/12/2022</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86,262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858,135</w:t>
            </w:r>
          </w:p>
        </w:tc>
      </w:tr>
      <w:tr>
        <w:trPr>
          <w:trHeight w:val="203"/>
        </w:trPr>
        <w:tc>
          <w:tcPr>
            <w:tcW w:w="3040" w:type="dxa"/>
            <w:vAlign w:val="bottom"/>
          </w:tcPr>
          <w:p>
            <w:pPr>
              <w:spacing w:after="0"/>
              <w:rPr>
                <w:sz w:val="17"/>
                <w:szCs w:val="17"/>
                <w:color w:val="auto"/>
              </w:rPr>
            </w:pP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12/16/2021</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66,734</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693,472</w:t>
            </w:r>
          </w:p>
        </w:tc>
      </w:tr>
      <w:tr>
        <w:trPr>
          <w:trHeight w:val="203"/>
        </w:trPr>
        <w:tc>
          <w:tcPr>
            <w:tcW w:w="3040" w:type="dxa"/>
            <w:vAlign w:val="bottom"/>
          </w:tcPr>
          <w:p>
            <w:pPr>
              <w:spacing w:after="0"/>
              <w:rPr>
                <w:sz w:val="17"/>
                <w:szCs w:val="17"/>
                <w:color w:val="auto"/>
              </w:rPr>
            </w:pP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12/30/2020</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78,300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850,172</w:t>
            </w:r>
          </w:p>
        </w:tc>
      </w:tr>
      <w:tr>
        <w:trPr>
          <w:trHeight w:val="23"/>
        </w:trPr>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12/12/2022</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43,750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435,226</w:t>
            </w:r>
          </w:p>
        </w:tc>
      </w:tr>
      <w:tr>
        <w:trPr>
          <w:trHeight w:val="193"/>
        </w:trPr>
        <w:tc>
          <w:tcPr>
            <w:tcW w:w="3040" w:type="dxa"/>
            <w:vAlign w:val="bottom"/>
            <w:shd w:val="clear" w:color="auto" w:fill="CCEEFF"/>
          </w:tcPr>
          <w:p>
            <w:pPr>
              <w:spacing w:after="0"/>
              <w:rPr>
                <w:sz w:val="16"/>
                <w:szCs w:val="16"/>
                <w:color w:val="auto"/>
              </w:rPr>
            </w:pP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12/16/2021</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29,321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304,692</w:t>
            </w: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12/30/2020</w:t>
            </w:r>
          </w:p>
        </w:tc>
        <w:tc>
          <w:tcPr>
            <w:tcW w:w="3720" w:type="dxa"/>
            <w:vAlign w:val="bottom"/>
            <w:tcBorders>
              <w:bottom w:val="single" w:sz="8" w:color="CCEEFF"/>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32,919</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357,427</w:t>
            </w:r>
          </w:p>
        </w:tc>
      </w:tr>
      <w:tr>
        <w:trPr>
          <w:trHeight w:val="196"/>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Sunoco LP Unit Awards:</w:t>
            </w:r>
          </w:p>
        </w:tc>
        <w:tc>
          <w:tcPr>
            <w:tcW w:w="27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4"/>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12/30/2020</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27,800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1,198,180</w:t>
            </w:r>
          </w:p>
        </w:tc>
      </w:tr>
      <w:tr>
        <w:trPr>
          <w:trHeight w:val="193"/>
        </w:trPr>
        <w:tc>
          <w:tcPr>
            <w:tcW w:w="3040" w:type="dxa"/>
            <w:vAlign w:val="bottom"/>
            <w:shd w:val="clear" w:color="auto" w:fill="CCEEFF"/>
          </w:tcPr>
          <w:p>
            <w:pPr>
              <w:spacing w:after="0"/>
              <w:rPr>
                <w:sz w:val="16"/>
                <w:szCs w:val="16"/>
                <w:color w:val="auto"/>
              </w:rPr>
            </w:pP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12/16/2019</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7,800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336,180</w:t>
            </w: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12/19/2018</w:t>
            </w:r>
          </w:p>
        </w:tc>
        <w:tc>
          <w:tcPr>
            <w:tcW w:w="3720" w:type="dxa"/>
            <w:vAlign w:val="bottom"/>
            <w:tcBorders>
              <w:bottom w:val="single" w:sz="8" w:color="CCEEFF"/>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7,730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333,163</w:t>
            </w: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12/12/2022</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14,200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612,020</w:t>
            </w:r>
          </w:p>
        </w:tc>
      </w:tr>
      <w:tr>
        <w:trPr>
          <w:trHeight w:val="193"/>
        </w:trPr>
        <w:tc>
          <w:tcPr>
            <w:tcW w:w="3040" w:type="dxa"/>
            <w:vAlign w:val="bottom"/>
          </w:tcPr>
          <w:p>
            <w:pPr>
              <w:spacing w:after="0"/>
              <w:rPr>
                <w:sz w:val="16"/>
                <w:szCs w:val="16"/>
                <w:color w:val="auto"/>
              </w:rPr>
            </w:pP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12/16/2021</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13,000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560,300</w:t>
            </w:r>
          </w:p>
        </w:tc>
      </w:tr>
      <w:tr>
        <w:trPr>
          <w:trHeight w:val="203"/>
        </w:trPr>
        <w:tc>
          <w:tcPr>
            <w:tcW w:w="3040" w:type="dxa"/>
            <w:vAlign w:val="bottom"/>
          </w:tcPr>
          <w:p>
            <w:pPr>
              <w:spacing w:after="0"/>
              <w:rPr>
                <w:sz w:val="17"/>
                <w:szCs w:val="17"/>
                <w:color w:val="auto"/>
              </w:rPr>
            </w:pP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12/30/2020</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16,000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689,600</w:t>
            </w:r>
          </w:p>
        </w:tc>
      </w:tr>
      <w:tr>
        <w:trPr>
          <w:trHeight w:val="203"/>
        </w:trPr>
        <w:tc>
          <w:tcPr>
            <w:tcW w:w="3040" w:type="dxa"/>
            <w:vAlign w:val="bottom"/>
          </w:tcPr>
          <w:p>
            <w:pPr>
              <w:spacing w:after="0"/>
              <w:rPr>
                <w:sz w:val="17"/>
                <w:szCs w:val="17"/>
                <w:color w:val="auto"/>
              </w:rPr>
            </w:pP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10/27/2020</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20,000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862,000</w:t>
            </w:r>
          </w:p>
        </w:tc>
      </w:tr>
      <w:tr>
        <w:trPr>
          <w:trHeight w:val="23"/>
        </w:trPr>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12/16/2021</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16,100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693,910</w:t>
            </w:r>
          </w:p>
        </w:tc>
      </w:tr>
      <w:tr>
        <w:trPr>
          <w:trHeight w:val="193"/>
        </w:trPr>
        <w:tc>
          <w:tcPr>
            <w:tcW w:w="3040" w:type="dxa"/>
            <w:vAlign w:val="bottom"/>
            <w:shd w:val="clear" w:color="auto" w:fill="CCEEFF"/>
          </w:tcPr>
          <w:p>
            <w:pPr>
              <w:spacing w:after="0"/>
              <w:rPr>
                <w:sz w:val="16"/>
                <w:szCs w:val="16"/>
                <w:color w:val="auto"/>
              </w:rPr>
            </w:pP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12/30/2020</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26,000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1,120,600</w:t>
            </w:r>
          </w:p>
        </w:tc>
      </w:tr>
      <w:tr>
        <w:trPr>
          <w:trHeight w:val="203"/>
        </w:trPr>
        <w:tc>
          <w:tcPr>
            <w:tcW w:w="3040" w:type="dxa"/>
            <w:vAlign w:val="bottom"/>
            <w:shd w:val="clear" w:color="auto" w:fill="CCEEFF"/>
          </w:tcPr>
          <w:p>
            <w:pPr>
              <w:spacing w:after="0"/>
              <w:rPr>
                <w:sz w:val="17"/>
                <w:szCs w:val="17"/>
                <w:color w:val="auto"/>
              </w:rPr>
            </w:pPr>
          </w:p>
        </w:tc>
        <w:tc>
          <w:tcPr>
            <w:tcW w:w="27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12/16/2019</w:t>
            </w:r>
          </w:p>
        </w:tc>
        <w:tc>
          <w:tcPr>
            <w:tcW w:w="3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7,280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313,768</w:t>
            </w:r>
          </w:p>
        </w:tc>
      </w:tr>
      <w:tr>
        <w:trPr>
          <w:trHeight w:val="206"/>
        </w:trPr>
        <w:tc>
          <w:tcPr>
            <w:tcW w:w="30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12/19/2018</w:t>
            </w:r>
          </w:p>
        </w:tc>
        <w:tc>
          <w:tcPr>
            <w:tcW w:w="3720" w:type="dxa"/>
            <w:vAlign w:val="bottom"/>
            <w:tcBorders>
              <w:bottom w:val="single" w:sz="8" w:color="CCEEFF"/>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7,658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330,060</w:t>
            </w:r>
          </w:p>
        </w:tc>
      </w:tr>
      <w:tr>
        <w:trPr>
          <w:trHeight w:val="188"/>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7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12/19/2018</w:t>
            </w:r>
          </w:p>
        </w:tc>
        <w:tc>
          <w:tcPr>
            <w:tcW w:w="372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32,060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1,381,786</w:t>
            </w:r>
          </w:p>
        </w:tc>
      </w:tr>
    </w:tbl>
    <w:p>
      <w:pPr>
        <w:spacing w:after="0" w:line="198" w:lineRule="exact"/>
        <w:rPr>
          <w:sz w:val="20"/>
          <w:szCs w:val="20"/>
          <w:color w:val="auto"/>
        </w:rPr>
      </w:pPr>
    </w:p>
    <w:p>
      <w:pPr>
        <w:ind w:left="340" w:hanging="332"/>
        <w:spacing w:after="0" w:line="229" w:lineRule="auto"/>
        <w:tabs>
          <w:tab w:leader="none" w:pos="328"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these outstanding awards represent subsidiary awards that converted into Energy Transfer awards upon the in connection with restructuring transactions in prior periods.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Energy Transfer and Sunoco LP unit awards outstanding vest as follows:</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2025 and 40% in December 2027 for awards granted in December 2022;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2024 and 40% in December 2026 for awards granted in December 2021;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2023 and 40% in December 2025 for awards granted in December 2020;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December 2024 for the remaining outstanding portion of awards granted in December 2019;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December 2023 for the remaining outstanding portion of awards granted in October and December 2018.</w:t>
      </w:r>
    </w:p>
    <w:p>
      <w:pPr>
        <w:spacing w:after="0" w:line="11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Such awards may be settled at the election of the Energy Transfer Compensation Committee in (i) common units of Energy Transfer (subject to the approval of the Energy Transfer Incentive Plans prior to the first vesting date by a majority of Unitholders pursuant to the rules of the New York Stock Exchange); (ii) cash equal to the Fair Market Value (as such term is defined in the Energy Transfer Incentive Plans) of the Energy Transfer common units that would otherwise be delivered pursuant to the terms of each named executive officers grant agreement; or (iii) other securities or property in an amount equal to the Fair Market Value of Energy Transfer common units that would otherwise be delivered pursuant to the terms of the grant agreement, or a combination thereof as determined by the Energy Transfer Compensation Committee in its discretion.</w:t>
      </w:r>
    </w:p>
    <w:p>
      <w:pPr>
        <w:spacing w:after="0" w:line="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Energy Transfer cash restricted unit awards granted in December 2022 vest 1/3 per year in December 2023, 2024 and 2025. Energy Transfer cash restricted unit awards granted in December 2021 vest 1/2 per year in December 2023 and 2024. The remaining outstanding Energy Transfer cash restricted unit awards granted in December 2020 vest in December 2023.</w:t>
      </w:r>
    </w:p>
    <w:p>
      <w:pPr>
        <w:spacing w:after="0" w:line="68" w:lineRule="exact"/>
        <w:rPr>
          <w:sz w:val="20"/>
          <w:szCs w:val="20"/>
          <w:color w:val="auto"/>
        </w:rPr>
      </w:pPr>
    </w:p>
    <w:p>
      <w:pPr>
        <w:jc w:val="both"/>
        <w:ind w:left="340" w:hanging="332"/>
        <w:spacing w:after="0" w:line="235" w:lineRule="auto"/>
        <w:tabs>
          <w:tab w:leader="none" w:pos="328" w:val="left"/>
        </w:tabs>
        <w:numPr>
          <w:ilvl w:val="0"/>
          <w:numId w:val="1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Market value was computed as the number of unvested awards as of December 31, 2022 multiplied by the closing price of respective common units of Energy Transfer and Sunoco LP. For Energy Transfer cash restricted unit awards, the grant date fair value is discounted for the expected distribution yield during the vesting period, as those awards do not include distribution equivalent rights.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Vested in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gridSpan w:val="4"/>
          </w:tcPr>
          <w:p>
            <w:pPr>
              <w:jc w:val="right"/>
              <w:ind w:right="1790"/>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200" w:type="dxa"/>
            <w:vAlign w:val="bottom"/>
          </w:tcPr>
          <w:p>
            <w:pPr>
              <w:spacing w:after="0"/>
              <w:rPr>
                <w:sz w:val="11"/>
                <w:szCs w:val="11"/>
                <w:color w:val="auto"/>
              </w:rPr>
            </w:pPr>
          </w:p>
        </w:tc>
        <w:tc>
          <w:tcPr>
            <w:tcW w:w="1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2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00" w:type="dxa"/>
            <w:vAlign w:val="bottom"/>
            <w:gridSpan w:val="2"/>
            <w:vMerge w:val="continue"/>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right"/>
              <w:ind w:right="87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0" w:type="dxa"/>
            <w:vAlign w:val="bottom"/>
          </w:tcPr>
          <w:p>
            <w:pPr>
              <w:spacing w:after="0"/>
              <w:rPr>
                <w:sz w:val="1"/>
                <w:szCs w:val="1"/>
                <w:color w:val="auto"/>
              </w:rPr>
            </w:pPr>
          </w:p>
        </w:tc>
      </w:tr>
      <w:tr>
        <w:trPr>
          <w:trHeight w:val="190"/>
        </w:trPr>
        <w:tc>
          <w:tcPr>
            <w:tcW w:w="66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10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2,161,097</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Marshall S. (Mackie) McCrea, III</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624,392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7,605,095</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383,670</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129,758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1,580,452</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2,228,940</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659,912</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Cash Restricted Unit Awards: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184,100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2,242,342</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Marshall S. (Mackie) McCrea, III</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1,517,421</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265,110</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984,948</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Thomas P. Mason</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111,666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1,360,092</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579,500</w:t>
            </w:r>
          </w:p>
        </w:tc>
        <w:tc>
          <w:tcPr>
            <w:tcW w:w="0" w:type="dxa"/>
            <w:vAlign w:val="bottom"/>
          </w:tcPr>
          <w:p>
            <w:pPr>
              <w:spacing w:after="0"/>
              <w:rPr>
                <w:sz w:val="1"/>
                <w:szCs w:val="1"/>
                <w:color w:val="auto"/>
              </w:rPr>
            </w:pPr>
          </w:p>
        </w:tc>
      </w:tr>
      <w:tr>
        <w:trPr>
          <w:trHeight w:val="196"/>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Sunoco LP Unit Awards: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812,008</w:t>
            </w:r>
          </w:p>
        </w:tc>
        <w:tc>
          <w:tcPr>
            <w:tcW w:w="0" w:type="dxa"/>
            <w:vAlign w:val="bottom"/>
          </w:tcPr>
          <w:p>
            <w:pPr>
              <w:spacing w:after="0"/>
              <w:rPr>
                <w:sz w:val="1"/>
                <w:szCs w:val="1"/>
                <w:color w:val="auto"/>
              </w:rPr>
            </w:pPr>
          </w:p>
        </w:tc>
      </w:tr>
      <w:tr>
        <w:trPr>
          <w:trHeight w:val="195"/>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Bradford D. Whitehurst</w:t>
            </w:r>
          </w:p>
        </w:tc>
        <w:tc>
          <w:tcPr>
            <w:tcW w:w="2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715,692</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334,763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key provisions of the Partnership’s deferred compensation plan can be found in the compensation discussion and analysis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Executive Contributions in</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 Contributions in</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18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Earnings in Last</w:t>
            </w:r>
          </w:p>
        </w:tc>
        <w:tc>
          <w:tcPr>
            <w:tcW w:w="1860" w:type="dxa"/>
            <w:vAlign w:val="bottom"/>
            <w:gridSpan w:val="2"/>
            <w:vMerge w:val="continue"/>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Balance at Last</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1820" w:type="dxa"/>
            <w:vAlign w:val="bottom"/>
            <w:gridSpan w:val="2"/>
            <w:vMerge w:val="continue"/>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6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 </w:t>
            </w:r>
            <w:r>
              <w:rPr>
                <w:rFonts w:ascii="Times New Roman" w:cs="Times New Roman" w:eastAsia="Times New Roman" w:hAnsi="Times New Roman"/>
                <w:sz w:val="18"/>
                <w:szCs w:val="18"/>
                <w:b w:val="1"/>
                <w:bCs w:val="1"/>
                <w:color w:val="auto"/>
                <w:w w:val="94"/>
                <w:vertAlign w:val="superscript"/>
              </w:rPr>
              <w:t>(1)</w:t>
            </w:r>
          </w:p>
        </w:tc>
        <w:tc>
          <w:tcPr>
            <w:tcW w:w="8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FY ($) </w:t>
            </w:r>
            <w:r>
              <w:rPr>
                <w:rFonts w:ascii="Times New Roman" w:cs="Times New Roman" w:eastAsia="Times New Roman" w:hAnsi="Times New Roman"/>
                <w:sz w:val="9"/>
                <w:szCs w:val="9"/>
                <w:b w:val="1"/>
                <w:bCs w:val="1"/>
                <w:color w:val="auto"/>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7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FYE ($)</w:t>
            </w:r>
          </w:p>
        </w:tc>
        <w:tc>
          <w:tcPr>
            <w:tcW w:w="0" w:type="dxa"/>
            <w:vAlign w:val="bottom"/>
          </w:tcPr>
          <w:p>
            <w:pPr>
              <w:spacing w:after="0"/>
              <w:rPr>
                <w:sz w:val="1"/>
                <w:szCs w:val="1"/>
                <w:color w:val="auto"/>
              </w:rPr>
            </w:pPr>
          </w:p>
        </w:tc>
      </w:tr>
      <w:tr>
        <w:trPr>
          <w:trHeight w:val="196"/>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M. Wright, Jr.</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69,745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included in the aggregate earnings column above have been included in the change in non-qualified deferred compensation earnings column of the summary compensation table.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of Control</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As discussed in our Compensation Discussion and Analysis above, any unvested equity awards (including cash restricted unit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pursuant the Energy Transfer Incentive Plans will automatically become vested upon a change of control, which is generally defined as the occurrence of one or more of the following events: (i) any person or group becomes the beneficial owner of 50% or more of the voting power or voting securities of Energy Transfer or its general partner; (ii) LE GP, LLC or an affiliate of LE GP, LLC ceases to be the general partner of Energy Transfer; or</w:t>
      </w:r>
    </w:p>
    <w:p>
      <w:pPr>
        <w:spacing w:after="0" w:line="1" w:lineRule="exact"/>
        <w:rPr>
          <w:sz w:val="20"/>
          <w:szCs w:val="20"/>
          <w:color w:val="auto"/>
        </w:rPr>
      </w:pPr>
    </w:p>
    <w:p>
      <w:pPr>
        <w:ind w:firstLine="8"/>
        <w:spacing w:after="0" w:line="260" w:lineRule="auto"/>
        <w:tabs>
          <w:tab w:leader="none" w:pos="3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including by liquidation or dissolution, of all or substantially all of the assets of Energy Transfer in one or more transactions to anyone other than an affiliate of Energy Transfer.</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as explained in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xml:space="preserve"> section of our Compensation Discussion and Analysis above, the restricted unit awards, phantom unit awards and cash restricted unit awards under the Energy Transfer Incentive Plans, the Sunoco LP Plan and the 2012 Sunoco LP Plan generally require the continued employment of the recipient during the vesting period, provided however, the unvested awards will be accelerated in the event of the death or disability of the award recipient prior to the applicable vesting period being satisfied. All awards outstanding to the named executive officers under the Energy Transfer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Plans, the 2018 Sunoco LP Plan or the 2012 Sunoco LP Plan would be accelerated in the event of a change in control of the Partnership.</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October 2018 equity award to Mr. Long included a provision in the applicable award agreement for acceleration of unvested restricted unit/restricted phantom unit awards upon a termination of employment by the general partner of the applicable partnership issuing the award without “cause.” For purposes of the awards the term “cause” shall mean: (i) a conviction (treating a nolo contendere plea as a conviction) of a felony (whether or not any right to appeal has 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Energy Transfer Compensation Committee and the compensation committee of the general partner of Sunoco LP, have approved a retirement provision, which provides that employees, including the named executive officers with at least five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 Beginning with awards granted in 2022, the retirement provision also requires that the award be held for at least one year after the grant date in order to be eligible for acceleration.</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As discussed in our Compensation Discussion and Analysis above, all amounts under the Energy Transfer NQDC Plan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discretionary credits) are immediately 100% vested. Upon a change of control (as defined in the Energy Transfer NQDC Plan), distributions from the respective plan would be made in accordance with the normal distribution provisions of the respective plan. A change of control is generally defined in the Energy Transfer NQDC Plan as any change of control event within the meaning of Treasury Regulation Section 1.409A-3(i)(5).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953(b) of the Dodd-Frank Wall Street Reform and Consumer Protection Act, and Item 402(u) of Regulation S-K, set forth below is information about the relationship of the annual total compensation of Messrs. Long and McCrea, Co-Chief Executive Officers, and the annual total compensation of our employees.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2022 calendar year, the annual total compensation of Messrs. Long and McCrea, as reported in the Summary Compensation Table of this Item 11 was $18,375,515 and $19,974,392,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median total compensation of the employees supporting the Partnership (other than Messrs. Long and McCrea) was $132,358 for 2022, which amount was updated from the 2021 “median employee.”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2022 the ratio of the annual total compensation of Messrs. Long and McCrea to the median of the annual total compensation of the employees supporting the Partnership as of December 31, 2022 was approximately 139 to 1 and 151 to 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identify the median of the annual total compensation of the employees supporting the Partnership, the following steps were taken:</w:t>
      </w:r>
    </w:p>
    <w:p>
      <w:pPr>
        <w:spacing w:after="0" w:line="117" w:lineRule="exact"/>
        <w:rPr>
          <w:sz w:val="20"/>
          <w:szCs w:val="20"/>
          <w:color w:val="auto"/>
        </w:rPr>
      </w:pPr>
    </w:p>
    <w:p>
      <w:pPr>
        <w:jc w:val="both"/>
        <w:ind w:left="340" w:hanging="332"/>
        <w:spacing w:after="0" w:line="266"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determined that, as of December 31, 2022, the applicable employee populations consisted of 9,533 with all of the identified individuals being employed in the United States. This population consisted of all of our full-time and part-time employees. We did not engage any independent contractors in 2022 that are required to be included in our employee population for the CEO pay ratio evaluation.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total earnings of our employees as reflected in our payroll records as reported on Form W-2 for 2021, and for 2022, updated the compensation of the “median employee” as reflected in our payroll records as reported on form W-2 for 2022.</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combined all elements of the employee’s compensation for 2022 resulting in an annual compensation of $132,358 with total base salary of $113,189 The difference between such employee’s total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earnings and the employee’s total compensation represents the estimated value of the employee’s health care benefits (estimated for the employee and such employee’s eligible dependents at $12,827) and the employee’s 401(k) matching contribution and profit sharing contribution (estimated at $6,342 per employee, includes $4,097 per employee on average matching contribution and $2,245 per employee on average profit sharing contribution (employees earning over $175,000 in base are ineligible for profit sharing)).</w:t>
      </w:r>
    </w:p>
    <w:p>
      <w:pPr>
        <w:spacing w:after="0" w:line="72" w:lineRule="exact"/>
        <w:rPr>
          <w:sz w:val="20"/>
          <w:szCs w:val="20"/>
          <w:color w:val="auto"/>
        </w:rPr>
      </w:pPr>
    </w:p>
    <w:p>
      <w:pPr>
        <w:ind w:left="340" w:right="2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Long and McCrea, we used the amount reported in the “Total” column of our 2022 Summary Compensation Table under this Item 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compensation arrangements for outside directors included a $100,000 annual retainer for services on the board. If a director served on the Energy Transfer Audit Committee, such director would receive an annual cash retainer ($15,000 or $25,000 in the case of the chairman). If a director served on the Energy Transfer Compensation Committee, such director would receive an annual cash retainer ($7,500 or $15,000 in the case of the chairman). The fees for membership on the Conflicts Committee are determined on a per instance basis for each committee assignment.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outside directors of our General Partner are also entitled to an annual restricted unit award under the Energy Transfer Incentive Plans equal to an aggregate of $100,000 divided by the closing price of Energy Transfer common units on the date of grant. These Energy Transfer common units will vest 60% after the third year and the remaining 40% after the fifth year after the grant date. The compensation expense recorded is based on the grant-date market value of the Energy Transfer common units and is recognized over the vesting period. Distributions are paid during the vesting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paid to the non-employee directors of our General Partner in 2022 is reflected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7"/>
                <w:szCs w:val="17"/>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Fees Paid in Cash</w:t>
            </w:r>
            <w:r>
              <w:rPr>
                <w:rFonts w:ascii="Times New Roman" w:cs="Times New Roman" w:eastAsia="Times New Roman" w:hAnsi="Times New Roman"/>
                <w:sz w:val="18"/>
                <w:szCs w:val="18"/>
                <w:b w:val="1"/>
                <w:bCs w:val="1"/>
                <w:color w:val="auto"/>
                <w:vertAlign w:val="superscript"/>
              </w:rPr>
              <w:t>(1)</w:t>
            </w:r>
          </w:p>
        </w:tc>
        <w:tc>
          <w:tcPr>
            <w:tcW w:w="380" w:type="dxa"/>
            <w:vAlign w:val="bottom"/>
          </w:tcPr>
          <w:p>
            <w:pPr>
              <w:spacing w:after="0"/>
              <w:rPr>
                <w:sz w:val="17"/>
                <w:szCs w:val="17"/>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 Awards</w:t>
            </w:r>
            <w:r>
              <w:rPr>
                <w:rFonts w:ascii="Times New Roman" w:cs="Times New Roman" w:eastAsia="Times New Roman" w:hAnsi="Times New Roman"/>
                <w:sz w:val="18"/>
                <w:szCs w:val="18"/>
                <w:b w:val="1"/>
                <w:bCs w:val="1"/>
                <w:color w:val="auto"/>
                <w:vertAlign w:val="superscript"/>
              </w:rPr>
              <w:t>(2)</w:t>
            </w:r>
          </w:p>
        </w:tc>
        <w:tc>
          <w:tcPr>
            <w:tcW w:w="19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90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Steven R. Anderson</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122,500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222,500</w:t>
            </w:r>
          </w:p>
        </w:tc>
        <w:tc>
          <w:tcPr>
            <w:tcW w:w="0" w:type="dxa"/>
            <w:vAlign w:val="bottom"/>
          </w:tcPr>
          <w:p>
            <w:pPr>
              <w:spacing w:after="0"/>
              <w:rPr>
                <w:sz w:val="1"/>
                <w:szCs w:val="1"/>
                <w:color w:val="auto"/>
              </w:rPr>
            </w:pP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Richard D. Brannon</w:t>
            </w: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Ray C. Davis </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K. Grimm</w:t>
            </w: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230,000</w:t>
            </w:r>
          </w:p>
        </w:tc>
        <w:tc>
          <w:tcPr>
            <w:tcW w:w="0" w:type="dxa"/>
            <w:vAlign w:val="bottom"/>
          </w:tcPr>
          <w:p>
            <w:pPr>
              <w:spacing w:after="0"/>
              <w:rPr>
                <w:sz w:val="1"/>
                <w:szCs w:val="1"/>
                <w:color w:val="auto"/>
              </w:rPr>
            </w:pP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R. Perry</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24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Ray W. Washburne </w:t>
            </w:r>
            <w:r>
              <w:rPr>
                <w:rFonts w:ascii="Times New Roman" w:cs="Times New Roman" w:eastAsia="Times New Roman" w:hAnsi="Times New Roman"/>
                <w:sz w:val="18"/>
                <w:szCs w:val="18"/>
                <w:color w:val="auto"/>
                <w:vertAlign w:val="superscript"/>
              </w:rPr>
              <w:t>(4)</w:t>
            </w: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153,750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Fees paid in cash are based on amounts paid during the period.</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award amounts reflect the aggregate grant date fair value of unit awards granted for the periods presented, computed in accordance with FASB ASC Topic 718, disregarding any estimates for forfeitures. See Note 9 to our consolidated financial statements included in “Item 8. Financial Statements and Supplementary Data” for additional assumptions underlying the value of the equity awards.</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Davis resigned from the board of directors of our General Partner, effective December 31, 2022.</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Washburne resigned from the board of directors of our General Partner, effective April 1, 2022.</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Mr. Anderson had 39,390 unvested Energy Transfer restricted units outstanding, Mr. Brannon had 40,645 unvested Energy Transfer restricted units outstanding, Mr. Davis had 39,390 unvested Energy Transfer restricted units outstanding, Mr. Grimm had 47,415 unvested Energy Transfer restricted units outstanding and Mr. Perry had 43,868 unvested Energy Transfer restricted units outstanding.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Non-independent directors do not receive compensation for their service on the board of our General Partner. Non-independent directors include the executive chairman and the employee directors, as well as Messrs. McReynolds and Ramsey, both of whom recently retired from the Partnership. In connection with his retirement, as previously reported by the Partnership, Mr. Ramsey received accelerated vesting of certain equity awards granted during his employment. The vesting of those equity awards was determined in connection with Mr. Ramsey’s employment and retirement, not his service on the board; therefore, no compensation is reflected in the table above for such vesting.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2023, the Board has adopted new compensation arrangement for outside directors, which will raise the annual restricted unit award under the Energy Transfer Incentive Plans equal to an aggregate of $125,000. The awards using the same grant date valuation as is used for annual long-term incentive awards made to Partnership officers, including the named executive officers, through the annual modified total unitholder return analysis. Additionally, moving forward awards to outside directors will be made at the same time such awards are made to the Partnership officers, usually in December of each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ind w:left="7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 MATTERS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 tabular format, a summary of our equity plan information as of December 31, 2022:</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Plan Category</w:t>
      </w:r>
    </w:p>
    <w:p>
      <w:pPr>
        <w:spacing w:after="0" w:line="3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39" w:lineRule="exact"/>
        <w:rPr>
          <w:sz w:val="20"/>
          <w:szCs w:val="20"/>
          <w:color w:val="auto"/>
        </w:rPr>
      </w:pPr>
    </w:p>
    <w:p>
      <w:pPr>
        <w:ind w:left="180" w:right="300" w:hanging="161"/>
        <w:spacing w:after="0" w:line="23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84"/>
        </w:trPr>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180" w:type="dxa"/>
            <w:vAlign w:val="bottom"/>
          </w:tcPr>
          <w:p>
            <w:pPr>
              <w:spacing w:after="0"/>
              <w:rPr>
                <w:sz w:val="16"/>
                <w:szCs w:val="16"/>
                <w:color w:val="auto"/>
              </w:rPr>
            </w:pPr>
          </w:p>
        </w:tc>
        <w:tc>
          <w:tcPr>
            <w:tcW w:w="1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180"/>
        </w:trPr>
        <w:tc>
          <w:tcPr>
            <w:tcW w:w="2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175"/>
        </w:trPr>
        <w:tc>
          <w:tcPr>
            <w:tcW w:w="23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be issued upon exercise</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0" w:type="dxa"/>
            <w:vAlign w:val="bottom"/>
          </w:tcPr>
          <w:p>
            <w:pPr>
              <w:spacing w:after="0"/>
              <w:rPr>
                <w:sz w:val="1"/>
                <w:szCs w:val="1"/>
                <w:color w:val="auto"/>
              </w:rPr>
            </w:pPr>
          </w:p>
        </w:tc>
      </w:tr>
      <w:tr>
        <w:trPr>
          <w:trHeight w:val="176"/>
        </w:trPr>
        <w:tc>
          <w:tcPr>
            <w:tcW w:w="23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of outstanding options,</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(excluding securities</w:t>
            </w:r>
          </w:p>
        </w:tc>
        <w:tc>
          <w:tcPr>
            <w:tcW w:w="0" w:type="dxa"/>
            <w:vAlign w:val="bottom"/>
          </w:tcPr>
          <w:p>
            <w:pPr>
              <w:spacing w:after="0"/>
              <w:rPr>
                <w:sz w:val="1"/>
                <w:szCs w:val="1"/>
                <w:color w:val="auto"/>
              </w:rPr>
            </w:pPr>
          </w:p>
        </w:tc>
      </w:tr>
      <w:tr>
        <w:trPr>
          <w:trHeight w:val="189"/>
        </w:trPr>
        <w:tc>
          <w:tcPr>
            <w:tcW w:w="2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180" w:type="dxa"/>
            <w:vAlign w:val="bottom"/>
          </w:tcPr>
          <w:p>
            <w:pPr>
              <w:spacing w:after="0"/>
              <w:rPr>
                <w:sz w:val="16"/>
                <w:szCs w:val="16"/>
                <w:color w:val="auto"/>
              </w:rPr>
            </w:pPr>
          </w:p>
        </w:tc>
        <w:tc>
          <w:tcPr>
            <w:tcW w:w="1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2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reflected in column (a))</w:t>
            </w:r>
          </w:p>
        </w:tc>
        <w:tc>
          <w:tcPr>
            <w:tcW w:w="0" w:type="dxa"/>
            <w:vAlign w:val="bottom"/>
          </w:tcPr>
          <w:p>
            <w:pPr>
              <w:spacing w:after="0"/>
              <w:rPr>
                <w:sz w:val="1"/>
                <w:szCs w:val="1"/>
                <w:color w:val="auto"/>
              </w:rPr>
            </w:pPr>
          </w:p>
        </w:tc>
      </w:tr>
      <w:tr>
        <w:trPr>
          <w:trHeight w:val="229"/>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37,713,968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3,578,984</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37,713,968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3,578,984</w:t>
            </w: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-187960</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-607695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220"/>
            <w:col w:w="6920"/>
          </w:cols>
          <w:pgMar w:left="320" w:top="114"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LP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10, 2023, regarding the beneficial ownership of our voting securities by (i) certain beneficial owners of more than 5% of our Common Units, (ii) each director and named executive officer of our General Partner and (iii) all current directors and executive officers of our General Partner as a group. The General Partner knows of no other person not disclosed herein who beneficially owns more than 5% of our Common Units.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color w:val="auto"/>
              </w:rPr>
              <w:t>Name and Address of</w:t>
            </w:r>
          </w:p>
        </w:tc>
        <w:tc>
          <w:tcPr>
            <w:tcW w:w="29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 xml:space="preserve">Beneficially Owned </w:t>
            </w:r>
            <w:r>
              <w:rPr>
                <w:rFonts w:ascii="Times New Roman" w:cs="Times New Roman" w:eastAsia="Times New Roman" w:hAnsi="Times New Roman"/>
                <w:sz w:val="23"/>
                <w:szCs w:val="23"/>
                <w:color w:val="auto"/>
                <w:vertAlign w:val="superscript"/>
              </w:rPr>
              <w:t>(2)</w:t>
            </w:r>
          </w:p>
        </w:tc>
        <w:tc>
          <w:tcPr>
            <w:tcW w:w="28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Percent of Class</w:t>
            </w:r>
          </w:p>
        </w:tc>
        <w:tc>
          <w:tcPr>
            <w:tcW w:w="0" w:type="dxa"/>
            <w:vAlign w:val="bottom"/>
          </w:tcPr>
          <w:p>
            <w:pPr>
              <w:spacing w:after="0"/>
              <w:rPr>
                <w:sz w:val="1"/>
                <w:szCs w:val="1"/>
                <w:color w:val="auto"/>
              </w:rPr>
            </w:pPr>
          </w:p>
        </w:tc>
      </w:tr>
      <w:tr>
        <w:trPr>
          <w:trHeight w:val="169"/>
        </w:trPr>
        <w:tc>
          <w:tcPr>
            <w:tcW w:w="5440" w:type="dxa"/>
            <w:vAlign w:val="bottom"/>
            <w:gridSpan w:val="2"/>
            <w:vMerge w:val="continue"/>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1940"/>
              <w:spacing w:after="0" w:line="243" w:lineRule="exact"/>
              <w:rPr>
                <w:sz w:val="20"/>
                <w:szCs w:val="20"/>
                <w:color w:val="auto"/>
              </w:rPr>
            </w:pPr>
            <w:r>
              <w:rPr>
                <w:rFonts w:ascii="Times New Roman" w:cs="Times New Roman" w:eastAsia="Times New Roman" w:hAnsi="Times New Roman"/>
                <w:sz w:val="18"/>
                <w:szCs w:val="18"/>
                <w:color w:val="auto"/>
              </w:rPr>
              <w:t xml:space="preserve">Beneficial Owner </w:t>
            </w:r>
            <w:r>
              <w:rPr>
                <w:rFonts w:ascii="Times New Roman" w:cs="Times New Roman" w:eastAsia="Times New Roman" w:hAnsi="Times New Roman"/>
                <w:sz w:val="23"/>
                <w:szCs w:val="23"/>
                <w:color w:val="auto"/>
                <w:vertAlign w:val="superscript"/>
              </w:rPr>
              <w:t>(1)</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Units</w:t>
            </w:r>
          </w:p>
        </w:tc>
        <w:tc>
          <w:tcPr>
            <w:tcW w:w="14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1"/>
              </w:rPr>
              <w:t>Units</w:t>
            </w:r>
            <w:r>
              <w:rPr>
                <w:rFonts w:ascii="Times New Roman" w:cs="Times New Roman" w:eastAsia="Times New Roman" w:hAnsi="Times New Roman"/>
                <w:sz w:val="23"/>
                <w:szCs w:val="23"/>
                <w:color w:val="auto"/>
                <w:w w:val="91"/>
                <w:vertAlign w:val="superscript"/>
              </w:rPr>
              <w:t>(3)</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Units</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Class A Units</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Kelcy L. Warren </w:t>
            </w:r>
            <w:r>
              <w:rPr>
                <w:rFonts w:ascii="Times New Roman" w:cs="Times New Roman" w:eastAsia="Times New Roman" w:hAnsi="Times New Roman"/>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287,799,984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765,993,429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E. Long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773,628</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 (Mackie) McCrea, III</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3,085,646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Dylan A. Bramhall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109,943</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 Mason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Bradford D. Whitehurst </w:t>
            </w:r>
            <w:r>
              <w:rPr>
                <w:rFonts w:ascii="Times New Roman" w:cs="Times New Roman" w:eastAsia="Times New Roman" w:hAnsi="Times New Roman"/>
                <w:sz w:val="23"/>
                <w:szCs w:val="23"/>
                <w:color w:val="auto"/>
                <w:vertAlign w:val="superscript"/>
              </w:rPr>
              <w:t>(5)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538,709</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 Wright, Jr.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Steven R. Anderson </w:t>
            </w:r>
            <w:r>
              <w:rPr>
                <w:rFonts w:ascii="Times New Roman" w:cs="Times New Roman" w:eastAsia="Times New Roman" w:hAnsi="Times New Roman"/>
                <w:sz w:val="23"/>
                <w:szCs w:val="23"/>
                <w:color w:val="auto"/>
                <w:vertAlign w:val="superscript"/>
              </w:rPr>
              <w:t>(6)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1,555,163</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D. Brannon </w:t>
            </w:r>
            <w:r>
              <w:rPr>
                <w:rFonts w:ascii="Times New Roman" w:cs="Times New Roman" w:eastAsia="Times New Roman" w:hAnsi="Times New Roman"/>
                <w:sz w:val="23"/>
                <w:szCs w:val="23"/>
                <w:color w:val="auto"/>
                <w:vertAlign w:val="superscript"/>
              </w:rPr>
              <w:t>(7)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696,071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Michael K. Grimm </w:t>
            </w:r>
            <w:r>
              <w:rPr>
                <w:rFonts w:ascii="Times New Roman" w:cs="Times New Roman" w:eastAsia="Times New Roman" w:hAnsi="Times New Roman"/>
                <w:sz w:val="23"/>
                <w:szCs w:val="23"/>
                <w:color w:val="auto"/>
                <w:vertAlign w:val="superscript"/>
              </w:rPr>
              <w:t>(8)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688,941</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W. McReynolds </w:t>
            </w:r>
            <w:r>
              <w:rPr>
                <w:rFonts w:ascii="Times New Roman" w:cs="Times New Roman" w:eastAsia="Times New Roman" w:hAnsi="Times New Roman"/>
                <w:sz w:val="23"/>
                <w:szCs w:val="23"/>
                <w:color w:val="auto"/>
                <w:vertAlign w:val="superscript"/>
              </w:rPr>
              <w:t>(9)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30,225,200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 Perry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126,027</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S. Ramsey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1,121,845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Blackstone Holdings I/II GP L.L.C. </w:t>
            </w:r>
            <w:r>
              <w:rPr>
                <w:rFonts w:ascii="Times New Roman" w:cs="Times New Roman" w:eastAsia="Times New Roman" w:hAnsi="Times New Roman"/>
                <w:sz w:val="23"/>
                <w:szCs w:val="23"/>
                <w:color w:val="auto"/>
                <w:vertAlign w:val="superscript"/>
              </w:rPr>
              <w:t>(10)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160,737,127</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327,802,291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765,993,429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87" w:lineRule="exact"/>
        <w:rPr>
          <w:sz w:val="20"/>
          <w:szCs w:val="20"/>
          <w:color w:val="auto"/>
        </w:rPr>
      </w:pPr>
    </w:p>
    <w:p>
      <w:pPr>
        <w:ind w:left="320" w:hanging="312"/>
        <w:spacing w:after="0"/>
        <w:tabs>
          <w:tab w:leader="none" w:pos="320"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address for all listed beneficial owners is 8111 Westchester Drive, Suite 600, Dallas, Texas 75225.</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Beneficial ownership for the purposes of this table is defined by Rule 13d-3 under the Exchange Act of 1934. Under that rule, a person is generally considered to be the beneficial owner of a security if he has or shares the power to vote or direct the voting thereof or to dispose or direct the disposition thereof or has the right to acquire either of those powers within sixty days. The nature of beneficial ownership for all listed persons is direct with sole investment and disposition power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unless otherwise noted. The beneficial ownership of each listed person is based on 3,094,593,760 common units outstanding in the aggregate as of February 10, 2023.</w:t>
      </w:r>
    </w:p>
    <w:p>
      <w:pPr>
        <w:spacing w:after="0" w:line="54" w:lineRule="exact"/>
        <w:rPr>
          <w:sz w:val="20"/>
          <w:szCs w:val="20"/>
          <w:color w:val="auto"/>
        </w:rPr>
      </w:pPr>
    </w:p>
    <w:p>
      <w:pPr>
        <w:jc w:val="both"/>
        <w:ind w:left="340" w:hanging="332"/>
        <w:spacing w:after="0" w:line="245" w:lineRule="auto"/>
        <w:tabs>
          <w:tab w:leader="none" w:pos="328"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Energy Transfer Class A Units are entitled to vote together with the Partnership’s common units and are not entitled to distributions and otherwise have no economic attributes. The Energy Transfer Class A Units are not convertible into, or exchangeable for, Partnership common units. Under the terms of the Energy Transfer Class A Units, upon the issuance by the Partnership of additional common units or any securities that have voting rights that are pari passu with the Partnership common units, the Partnership will issue to the general partner additional Energy Transfer Class A Units such that Mr. Warren, through his majority ownership of our general partner, maintains the approximately 20% voting percentage in the Partnership represented by such Energy Transfer Class A Units equivalent to such Energy Transfer Class A Unit voting interest prior to such issuance of additional common units. This provision of the Energy Transfer Class A Units shall terminate at such time as Mr. Warren ceases to be an officer or director of our general partner, provided that all Energy Transfer Class A Units outstanding at such time shall be unchanged and remain outstanding. Mr. Warren’s combined common unit and Energy Transfer Class A Unit ownership results in a voting interest in the Partnership of 27%.</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120,385,650 common units held by Kelcy Warren Partners, L.P. and 10,224,429 common units held by Kelcy Warren Partners II, L.P., the general partners of which are owned by Mr. Warren. Also includes 100,577,803 common units held by Kelcy Warren Partners III, LLC formerly known as Seven Bridges Holdings, LLC, of which Mr. Warren is a member. Also includes 328,383 common units attributable to the interest of Mr. Warren in ET Company Ltd and Three Dawaco, Inc., over which Mr. Warren exercises shared voting and dispositive power with Ray Davis. Also includes 601,076 common units and 765,933,429 Energy Transfer Class A Units held by LE GP, LLC. Mr. Warren may be deemed to own common units and Energy Transfer Class A Units held by LE GP, LLC due to his ownership of 81.2% of its member interests. Mr. Warren disclaims beneficial ownership of common units and Energy Transfer Class A Units owned by LE GP, LLC other than to the extent of his interest in such entity. Also includes 104,166 common units held by Mr. Warren’s spouse. Mr. Warren’s combined common unit and Energy Transfer Class A Unit ownership results in a voting interest in the Partnership of 27%.</w:t>
      </w:r>
    </w:p>
    <w:p>
      <w:pPr>
        <w:sectPr>
          <w:pgSz w:w="11900" w:h="16838" w:orient="portrait"/>
          <w:cols w:equalWidth="0" w:num="1">
            <w:col w:w="11240"/>
          </w:cols>
          <w:pgMar w:left="320" w:top="114"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297,617 common units held by Mr. Whitehurst in a margin account.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1,544,558 common units held by Steven R. Anderson Revocable Trust, for which Mr. Anderson serves as trustee.</w:t>
      </w:r>
    </w:p>
    <w:p>
      <w:pPr>
        <w:spacing w:after="0" w:line="129" w:lineRule="exact"/>
        <w:rPr>
          <w:sz w:val="20"/>
          <w:szCs w:val="20"/>
          <w:color w:val="auto"/>
        </w:rPr>
      </w:pPr>
    </w:p>
    <w:p>
      <w:pPr>
        <w:sectPr>
          <w:pgSz w:w="11900" w:h="16838" w:orient="portrait"/>
          <w:cols w:equalWidth="0" w:num="2">
            <w:col w:w="140" w:space="180"/>
            <w:col w:w="10920"/>
          </w:cols>
          <w:pgMar w:left="320" w:top="114" w:right="339" w:bottom="1440" w:gutter="0" w:footer="0" w:header="0"/>
          <w:type w:val="continuous"/>
        </w:sectPr>
      </w:pPr>
    </w:p>
    <w:p>
      <w:pPr>
        <w:ind w:left="340" w:hanging="332"/>
        <w:spacing w:after="0" w:line="229" w:lineRule="auto"/>
        <w:tabs>
          <w:tab w:leader="none" w:pos="328"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580,000 common units held by B4 Capital Investments, LP, a limited partnership of which a limited liability company owned by Mr. Brannon and his wife is the sole general partner and of which Mr. Brannon and his wife are the sole limited partners.</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530,173 common units held Grimm Family Limited Partnership, a limited partnership of which a limited liability company owned by Mr. Grimm is the sole general partner.</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17,445,608 common units held by McReynolds Energy Partners L.P. and 12,142,593 common units held by McReynolds Equity Partners L.P., the general partners of which are owned by Mr. McReynolds. Mr. McReynolds disclaims beneficial ownership of common units owned by such limited partnerships other than to the extent of his interest in such entities.</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3" w:lineRule="auto"/>
        <w:tabs>
          <w:tab w:leader="none" w:pos="332"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information is based on a Schedule 13G filed on February 9, 2023 by Blackstone Holdings I/II GP L.L.C. on behalf of itself and Blackstone Inc., Blackstone Group Management L.L.C., and Stephen A. Schwarzman, each of which reported sole voting and dispositive power with respect to 160,737,127 Energy Transfer Common Units. The sole member of Blackstone Holdings I/II GP L.L.C. is Blackstone Inc. The sole holder of the Series II preferred stock of Blackstone Inc. is Blackstone Group Management L.L.C. Blackstone Group Management L.L.C. is wholly-owned by Blackstone’s senior managing directors and controlled by its founder, Stephen A. Schwarzman. The address for each reporting person identified in the February 9, 2023 filing was 345 Park Avenue, New York, NY 10154.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Partnership’s principal sources of cash flow are derived from cash flows from the operations of its subsidiaries, including its direct and indirect investments in the limited partner and general partner interests in Sunoco LP and USAC, both of which are limited partnerships engaged in energy-related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making its director independence determination, the Board considered business arrangements involving a director who owns equity interest in, and is the CEO of, a company that owns working interests in oil and gas wells, and affiliates of the Partnership who made nominal payments to that company. None of the arrangements involved payments to the company of more than $1 million in any of the past three fiscal years and the Board determined that the relationship did not impact the director’s independence.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director independence, see “Item 10. Directors, Executive Officers and Corporate Governance.”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policy matter, our Conflicts Committee generally reviews any proposed related party transaction that may be material to the Partnership to determine whether the transaction is fair and reasonable to the Partnership. The Partnership’s board of directors makes the determinations as to whether there exists a related 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of Energy Transfer provides that any matter approved by the Conflicts Committee will be conclusively deemed to be fair and reasonable to Energy Transfer, approved by all the partners of Energy Transfer and not a breach by the General Partner or its Board of Directors of any duties they may owe Energy Transfer or the Unitholders (see “Risks Related to Conflicts of Interest” in “Item 1A. Risk Factors” in this annual report).</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on our related party transactions is included in Note 2 to the Partnership’s consolidated financial statements included in “Item 8. Financial Statements and Supplementary Data.”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sets forth fees billed by Grant Thornton LLP for the audit of our annual financial statements and other services rendered (dollars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0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28"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 and services related to the audit of our internal control over financial reporting.</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fees for financial due diligence related to acquisitions.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Audit Committee. All fees paid or expected to be paid to Grant Thornton LLP for fiscal years 2022 and 2021 were pre-approved by the Audit Committee in accordance with this policy.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72"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internal quality-control procedures;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issues raised by the most recent internal quality-control review, or peer review, of the external auditors;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of the external auditors;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fees billed by our external auditors for each of the previous two years;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rotation of the lead partner.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99"/>
        </w:trPr>
        <w:tc>
          <w:tcPr>
            <w:tcW w:w="760" w:type="dxa"/>
            <w:vAlign w:val="bottom"/>
          </w:tcPr>
          <w:p>
            <w:pPr>
              <w:spacing w:after="0"/>
              <w:rPr>
                <w:sz w:val="24"/>
                <w:szCs w:val="24"/>
                <w:color w:val="auto"/>
              </w:rPr>
            </w:pPr>
          </w:p>
        </w:tc>
        <w:tc>
          <w:tcPr>
            <w:tcW w:w="9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15. EXHIBITS AND FINANCIAL STATEMENT SCHEDULES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0"/>
        </w:trPr>
        <w:tc>
          <w:tcPr>
            <w:tcW w:w="10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440" w:type="dxa"/>
            <w:vAlign w:val="bottom"/>
            <w:gridSpan w:val="3"/>
          </w:tcPr>
          <w:p>
            <w:pPr>
              <w:spacing w:after="0"/>
              <w:rPr>
                <w:sz w:val="24"/>
                <w:szCs w:val="24"/>
                <w:color w:val="auto"/>
              </w:rPr>
            </w:pPr>
          </w:p>
        </w:tc>
      </w:tr>
      <w:tr>
        <w:trPr>
          <w:trHeight w:val="37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Statements – see Index to Financial Statements</w:t>
            </w:r>
          </w:p>
        </w:tc>
        <w:tc>
          <w:tcPr>
            <w:tcW w:w="18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 - 1</w:t>
            </w:r>
          </w:p>
        </w:tc>
      </w:tr>
      <w:tr>
        <w:trPr>
          <w:trHeight w:val="4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Statement Schedules – None</w:t>
            </w: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Exhibits – see Index to Exhibits</w:t>
            </w:r>
          </w:p>
        </w:tc>
        <w:tc>
          <w:tcPr>
            <w:tcW w:w="5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0000FF"/>
              </w:rPr>
              <w:t>159</w:t>
            </w:r>
          </w:p>
        </w:tc>
        <w:tc>
          <w:tcPr>
            <w:tcW w:w="280" w:type="dxa"/>
            <w:vAlign w:val="bottom"/>
          </w:tcPr>
          <w:p>
            <w:pPr>
              <w:spacing w:after="0"/>
              <w:rPr>
                <w:sz w:val="24"/>
                <w:szCs w:val="24"/>
                <w:color w:val="auto"/>
              </w:rPr>
            </w:pPr>
          </w:p>
        </w:tc>
      </w:tr>
      <w:tr>
        <w:trPr>
          <w:trHeight w:val="884"/>
        </w:trPr>
        <w:tc>
          <w:tcPr>
            <w:tcW w:w="760" w:type="dxa"/>
            <w:vAlign w:val="bottom"/>
          </w:tcPr>
          <w:p>
            <w:pPr>
              <w:spacing w:after="0"/>
              <w:rPr>
                <w:sz w:val="24"/>
                <w:szCs w:val="24"/>
                <w:color w:val="auto"/>
              </w:rPr>
            </w:pP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listed on the following Exhibit Index are filed as part of this report. Exhibits required by Item 601 of Regulation S-K, but which are not listed below, are not applicable.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20" w:type="dxa"/>
            <w:vAlign w:val="bottom"/>
            <w:gridSpan w:val="3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5"/>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2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60" w:type="dxa"/>
            <w:vAlign w:val="bottom"/>
            <w:gridSpan w:val="3"/>
          </w:tcPr>
          <w:p>
            <w:pPr>
              <w:ind w:left="20"/>
              <w:spacing w:after="0"/>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Agreement and Plan of Merger, dated as of September 15, 2019, by and among Energy Transfer LP, Nautilus Merger Sub LLC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SemGroup Corporation (incorporated by reference to Exhibit 2.1 to Form 8-K (File No. 1-32740) filed September 16,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Agreement and Plan of Merger, dated as of February 16, 2021, by and among Energy Transfer LP, Elk Merger Sub LLC, Elk GP Merger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6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Sub LLC, Enable Midstream Partners, LP, Enable GP, LLC, solely for the purpose of Section 21.(a)(i), LE GP, LLC, and, solely for the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380" w:type="dxa"/>
            <w:vAlign w:val="bottom"/>
            <w:gridSpan w:val="37"/>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purpose of Section 1.1(b)(i), CenterPoint Energy, Inc. (incorporated by reference to Exhibit 2.1 to Form 8-K (File No. 1-32740)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February 17,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Agreement and Plan of Merger, dated as of March 5, 2021, by and among Energy Transfer LP, ETO Merger Sub LLC and Energy Transfer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Operating, L.P. (incorporated by reference to Exhibit 2.1 to Form 8-K (File No. 1-32740) filed March 5,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Agreement and Plan of Merger, dated as of April 1, 2021, by and among Energy Transfer Operating, L.P., Sunoco Logistics Partners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Operations L.P. and Sunoco Logistics Partners GP LLC (incorporated by reference to Exhibit 2.1 to Form 8-K (File No. 1-32740) filed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April 2, 2021)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Agreement and Plan of Merger, dated as of April 1, 2021, by and among Energy Transfer LP and Energy Transfer Operating, L.P.</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(incorporated by reference to Exhibit 2.2 to Form 8-K (File No. 1-32740) filed April 2, 2021)</w:t>
              </w:r>
            </w:hyperlink>
          </w:p>
        </w:tc>
        <w:tc>
          <w:tcPr>
            <w:tcW w:w="7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Certificate of Limited Partnership of Energy Transfer Equity, L.P. (incorporated by reference to Exhibit 3.2 to Form S-1 (File No. 333-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128097) filed September 2, 2005)</w:t>
              </w:r>
            </w:hyperlink>
          </w:p>
        </w:tc>
        <w:tc>
          <w:tcPr>
            <w:tcW w:w="7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6"/>
          </w:tcPr>
          <w:p>
            <w:pPr>
              <w:ind w:left="2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Certificate of Amendment to Certificate of Limited Partnership of Energy Transfer LP (incorporated by reference to Exhibit 3.1 to Form 8-</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K (File No. 1-32740) filed October 19,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Third Amended and Restated Agreement of Limited Partnership of Energy Transfer Equity, L.P., dated February 8, 2006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 to Exhibit 3.1 to Form 8-K (File No. 1-32740) filed February 14,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No. 1 to Third Amended and Restated Agreement of Limited Partnership of Energy Transfer Equity, L.P. dated November 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2006 (incorporated by reference to Exhibit 3.3.1 to Form 10-K (File No. 1-32740) filed November 29, 2006)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No. 2 to Third Amended and Restated Agreement of Limited Partnership of Energy Transfer Equity, L.P., dated November 9,</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7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2007 (incorporated by reference to Exhibit 3.3.2 to Form 8-K (File No. 1-32740) filed November 13, 2007)</w:t>
              </w:r>
            </w:hyperlink>
          </w:p>
        </w:tc>
        <w:tc>
          <w:tcPr>
            <w:tcW w:w="24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Amendment No. 3 to Third Amended and Restated Agreement of Limited Partnership of Energy Transfer Equity, L.P., dated May 26, 2010</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(incorporated by reference to Exhibit 3.1 to Form 8-K (File No. 1-32740) filed June 2, 2010)</w:t>
              </w:r>
            </w:hyperlink>
          </w:p>
        </w:tc>
        <w:tc>
          <w:tcPr>
            <w:tcW w:w="34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No. 4 to Third Amended and Restated Agreement of Limited Partnership of Energy Transfer Equity, L.P., dated December 23,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2013 (incorporated by reference to Exhibit 3.1 to Form 8-K (File No. 1-32740) filed December 27, 2013)</w:t>
              </w:r>
            </w:hyperlink>
          </w:p>
        </w:tc>
        <w:tc>
          <w:tcPr>
            <w:tcW w:w="27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No. 5 to Third Amended and Restated Agreement of Limited Partnership of Energy Transfer Equity, L.P., dated as of March 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2016 (incorporated by reference to Exhibit 3.1 to Form 8-K (File No. 1-32740) filed March 9, 2016)</w:t>
              </w:r>
            </w:hyperlink>
          </w:p>
        </w:tc>
        <w:tc>
          <w:tcPr>
            <w:tcW w:w="314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Amendment No. 6 to Third Amended and Restated Agreement of Limited Partnership of Energy Transfer Equity, L.P., dated as of October</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19, 2018 (incorporated by reference to Exhibit 3.2 of Form 8-K, File No.1-32740, filed October 19, 2018 (incorporated by reference to</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Exhibit 3.2 to Form 8-K (File No. 1-32740) filed October 19, 2018</w:t>
              </w:r>
              <w:r>
                <w:rPr>
                  <w:rFonts w:ascii="Times New Roman" w:cs="Times New Roman" w:eastAsia="Times New Roman" w:hAnsi="Times New Roman"/>
                  <w:sz w:val="18"/>
                  <w:szCs w:val="18"/>
                  <w:color w:val="000000"/>
                </w:rPr>
                <w:t>)</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7 to Third Amended and Restated Agreement of Limited Partnership of Energy Transfer LP dated as of August 6, 2019</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by reference to Exhibit 3.10 to Form 10-Q (File No. 1-32740) filed August 8, 2019)</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gridSpan w:val="9"/>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gridSpan w:val="5"/>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10</w:t>
              </w:r>
            </w:hyperlink>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Amendment No. 8 to Third Amended and Restated Agreement of Limited Partnership of Energy Transfer LP, dated April 1, 2021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(incorporated by reference to Exhibit 2.2 of Form 8-K (File No. 1-32740) filed April 1, 2021)</w:t>
              </w:r>
            </w:hyperlink>
          </w:p>
        </w:tc>
        <w:tc>
          <w:tcPr>
            <w:tcW w:w="3440" w:type="dxa"/>
            <w:vAlign w:val="bottom"/>
            <w:tcBorders>
              <w:top w:val="single" w:sz="8" w:color="0000FF"/>
            </w:tcBorders>
            <w:gridSpan w:val="16"/>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w w:val="95"/>
              </w:rPr>
            </w:pPr>
            <w:hyperlink r:id="rId204">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11</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No. 9 to Third Amended and Restated Agreement of Limited Partnership of Energy Transfer LP, dated June 15, 2021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(incorporated by reference to Exhibit 3.1 of Form 8-K (File No. 1-32740) filed June 15, 2021)</w:t>
              </w:r>
            </w:hyperlink>
          </w:p>
        </w:tc>
        <w:tc>
          <w:tcPr>
            <w:tcW w:w="3380" w:type="dxa"/>
            <w:vAlign w:val="bottom"/>
            <w:tcBorders>
              <w:top w:val="single" w:sz="8" w:color="0000FF"/>
            </w:tcBorders>
            <w:gridSpan w:val="14"/>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20" w:type="dxa"/>
            <w:vAlign w:val="bottom"/>
            <w:gridSpan w:val="39"/>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Indenture, dated September 20, 2010 between Energy Transfer Equity, L.P. and U.S. Bank National Association, as trustee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reference to Exhibit 4.1 to Form 8-K (File No. 1-32740) filed September 20, 2010)</w:t>
              </w:r>
            </w:hyperlink>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top w:val="single" w:sz="8" w:color="0000FF"/>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60" w:type="dxa"/>
            <w:vAlign w:val="bottom"/>
            <w:gridSpan w:val="4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60" w:type="dxa"/>
            <w:vAlign w:val="bottom"/>
            <w:gridSpan w:val="4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tcPr>
          <w:p>
            <w:pPr>
              <w:ind w:left="20"/>
              <w:spacing w:after="0"/>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Fourth Supplemental Indenture, dated December 2, 2013 between Energy Transfer Equity, L.P. and U.S. Bank National Association, as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trustee (including form of the Notes) (incorporated by reference to Exhibit 4.2 to Form 8-K (File No. 1-32740) filed December 2, 2013)</w:t>
              </w:r>
            </w:hyperlink>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Fifth Supplemental Indenture, dated May 28, 2014 between Energy Transfer Equity, L.P. and U.S. Bank National Association, as trustee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4.2 to Form 8-K (File No. 1-32740) filed May 28,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Sixth Supplemental Indenture, dated May 28, 2014 between Energy Transfer Equity, L.P. and U.S. Bank National Association, as trustee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4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(incorporated by reference to Exhibit 4.3 to Form 8-K (File No. 1-32740) filed May 28,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Seventh Supplemental Indenture, dated May 22, 2015 between Energy Transfer Equity, L.P. and U.S. Bank National Association, as trustee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(including form of the Notes) (incorporated by reference to Exhibit 4.2 to Form 8-K (File No. 1-32740) filed May 22,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Eighth Supplemental Indenture dated October 18, 2017 between Energy Transfer Equity, L.P. and U.S. Bank National Association, as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trustee (incorporated by reference to Exhibit 4.2 to Form 8-K (File No. 1-32740) filed October 18th, 2017)</w:t>
              </w:r>
            </w:hyperlink>
          </w:p>
        </w:tc>
        <w:tc>
          <w:tcPr>
            <w:tcW w:w="260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Ninth Supplemental Indenture, dated as of March 25, 2019, between Energy Transfer LP and U.S. Bank National Association as trustee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Exhibit 4.2 to Form 8-K (File No. 1-32740) filed March 27,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Indenture dated January 18, 2005 among Energy Transfer Partners, L.P., the subsidiary guarantors named therein and Wachovia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National Association, as trustee (incorporated by reference to Exhibit 4.1 to Form 8-K (File No. 1-11727) filed January 19, 2005)</w:t>
              </w:r>
            </w:hyperlink>
          </w:p>
        </w:tc>
        <w:tc>
          <w:tcPr>
            <w:tcW w:w="98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Fifth Supplemental Indenture dated as of October 23, 2006 to Indenture dated January 18, 2005, among Energy Transfer Partners, L.P,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subsidiary guarantors named therein and Wachovia Bank, National Association, as trustee (incorporated by reference to Exhibit 4.1 to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40" w:type="dxa"/>
            <w:vAlign w:val="bottom"/>
            <w:gridSpan w:val="34"/>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8-K (File No. 1-11727) filed October 25,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Sixth Supplemental Indenture dated March 28, 2008, by and between Energy Transfer Partners, L.P., as issuer, and U.S. Bank National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Association (as successor to Wachovia Bank, National Association), as trustee (incorporated by reference to Exhibit 4.2 to Form 8-K (File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No. 1-11727) filed March 31, 2008)</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4"/>
          </w:tcPr>
          <w:p>
            <w:pPr>
              <w:ind w:left="20"/>
              <w:spacing w:after="0"/>
              <w:rPr>
                <w:rFonts w:ascii="Times New Roman" w:cs="Times New Roman" w:eastAsia="Times New Roman" w:hAnsi="Times New Roman"/>
                <w:sz w:val="18"/>
                <w:szCs w:val="18"/>
                <w:color w:val="0000FF"/>
                <w:w w:val="95"/>
              </w:rPr>
            </w:pPr>
            <w:hyperlink r:id="rId219">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Ninth Supplemental Indenture, dated as of May 12, 2011, to the Indenture dated January 18, 2005, by and between Energy Transfer</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Partners, L.P. and U.S. Bank National Association (as successor to Wachovia Bank, National Association), as trustee (incorporated by</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52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reference to Exhibit 4.2 to Form 8-K (File No. 1-11727) filed May 12, 2011)</w:t>
              </w:r>
            </w:hyperlink>
          </w:p>
        </w:tc>
        <w:tc>
          <w:tcPr>
            <w:tcW w:w="4740" w:type="dxa"/>
            <w:vAlign w:val="bottom"/>
            <w:gridSpan w:val="19"/>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Tenth Supplemental Indenture, dated as of January 17, 2012, to the Indenture dated January 18, 2005, by and between Energy Transfer</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Partners, L.P. and U.S. Bank National Association (as successor to Wachovia Bank, National Association), as trustee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reference to Exhibit 4.2 to Form 8-K (File No. 1-11727) filed January 17, 2012)</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Eleventh Supplemental Indenture dated as of January 22, 2013 by and between Energy Transfer Partners, L.P., as issuer, and U.S. Bank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8-K (File No. 1-11727) filed January 23,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Twelfth Supplemental Indenture, dated as of January 24, 2013,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8-K (File No. 1-11727) filed June 26, 2013)</w:t>
              </w:r>
            </w:hyperlink>
          </w:p>
        </w:tc>
        <w:tc>
          <w:tcPr>
            <w:tcW w:w="69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Thirteenth Supplemental Indenture, dated as of September 19, 2013, by and between Energy Transfer Partners, L.P., as issuer, and U.S.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Bank National Association (as successor to Wachovia Bank, National Association), as trustee (incorporated by reference to Exhibit 4.2 to</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Form 8-K (File No. 1-11727) filed September 19, 2013)</w:t>
              </w:r>
            </w:hyperlink>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16</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Fourteenth Supplemental Indenture, dated as of March 12, 2015,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8-K (File No. 1-11727) filed March 12, 2015)</w:t>
              </w:r>
            </w:hyperlink>
          </w:p>
        </w:tc>
        <w:tc>
          <w:tcPr>
            <w:tcW w:w="678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17</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Fifteenth Supplemental Indenture, dated as of June 23, 2015, by and between Energy Transfer Partners, L.P., as issuer, and U.S. Bank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National Association (as successor to Wachovia Bank, National Association), as trustee (incorporated by reference to Exhibit 4.3 to Form</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8-K (File No. 1-11727) filed June 23, 2015)</w:t>
              </w:r>
            </w:hyperlink>
          </w:p>
        </w:tc>
        <w:tc>
          <w:tcPr>
            <w:tcW w:w="69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18</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Sixteenth Supplemental Indenture, dated as of January 17, 2017, between Energy Transfer Partners, L.P. and U.S. Bank National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Association (as successor to Wachovia Bank, National Association), as trustee (incorporated by reference to Exhibit 4.2 to Form 8-K (File</w:t>
              </w:r>
            </w:hyperlink>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No. 1-11727) filed January 17, 2017)</w:t>
              </w:r>
            </w:hyperlink>
          </w:p>
        </w:tc>
        <w:tc>
          <w:tcPr>
            <w:tcW w:w="7560" w:type="dxa"/>
            <w:vAlign w:val="bottom"/>
            <w:tcBorders>
              <w:top w:val="single" w:sz="8" w:color="0000FF"/>
            </w:tcBorders>
            <w:gridSpan w:val="25"/>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19</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Seventeenth Supplemental Indenture, dated as of December 1, 2017, between Energy Transfer Partners, L.P. and U.S. Bank National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Association (as successor to Wachovia Bank, National Association), as trustee (incorporated by reference to Exhibit 10.8 to Form 8-K (File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No. 1-31219) filed December 6, 2017)</w:t>
              </w:r>
            </w:hyperlink>
          </w:p>
        </w:tc>
        <w:tc>
          <w:tcPr>
            <w:tcW w:w="730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20</w:t>
              </w:r>
            </w:hyperlink>
          </w:p>
        </w:tc>
        <w:tc>
          <w:tcPr>
            <w:tcW w:w="260" w:type="dxa"/>
            <w:vAlign w:val="bottom"/>
          </w:tcPr>
          <w:p>
            <w:pPr>
              <w:spacing w:after="0"/>
              <w:rPr>
                <w:sz w:val="19"/>
                <w:szCs w:val="19"/>
                <w:color w:val="auto"/>
              </w:rPr>
            </w:pPr>
          </w:p>
        </w:tc>
        <w:tc>
          <w:tcPr>
            <w:tcW w:w="10460" w:type="dxa"/>
            <w:vAlign w:val="bottom"/>
            <w:gridSpan w:val="4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Second Supplemental Indenture, dated December 1, 2017, among Energy Transfer Partners, L.P., and U.S. Bank National Association, as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trustee (incorporated by reference to Exhibit 10.5 to Form 8-K (File No. 1-31219) filed December 6, 2017)</w:t>
              </w:r>
            </w:hyperlink>
          </w:p>
        </w:tc>
        <w:tc>
          <w:tcPr>
            <w:tcW w:w="2420" w:type="dxa"/>
            <w:vAlign w:val="bottom"/>
            <w:tcBorders>
              <w:top w:val="single" w:sz="8" w:color="0000FF"/>
            </w:tcBorders>
            <w:gridSpan w:val="7"/>
          </w:tcPr>
          <w:p>
            <w:pPr>
              <w:spacing w:after="0"/>
              <w:rPr>
                <w:sz w:val="13"/>
                <w:szCs w:val="13"/>
                <w:color w:val="auto"/>
              </w:rPr>
            </w:pPr>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gridSpan w:val="11"/>
          </w:tcPr>
          <w:p>
            <w:pPr>
              <w:ind w:left="4440"/>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u w:val="single" w:color="auto"/>
          <w:color w:val="auto"/>
        </w:rPr>
        <w:t>Number</w:t>
        <w:tab/>
        <w:t>Description</w:t>
      </w:r>
    </w:p>
    <w:p>
      <w:pPr>
        <w:spacing w:after="0" w:line="21" w:lineRule="exact"/>
        <w:rPr>
          <w:sz w:val="20"/>
          <w:szCs w:val="20"/>
          <w:color w:val="auto"/>
        </w:rPr>
      </w:pPr>
    </w:p>
    <w:p>
      <w:pPr>
        <w:jc w:val="both"/>
        <w:ind w:left="1040" w:right="120" w:hanging="1011"/>
        <w:spacing w:after="0" w:line="224" w:lineRule="auto"/>
        <w:tabs>
          <w:tab w:leader="none" w:pos="1020" w:val="left"/>
        </w:tabs>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4.21</w:t>
        </w:r>
      </w:hyperlink>
      <w:r>
        <w:rPr>
          <w:rFonts w:ascii="Times New Roman" w:cs="Times New Roman" w:eastAsia="Times New Roman" w:hAnsi="Times New Roman"/>
          <w:sz w:val="18"/>
          <w:szCs w:val="18"/>
          <w:u w:val="single" w:color="auto"/>
          <w:color w:val="0000FF"/>
        </w:rPr>
        <w:tab/>
      </w:r>
      <w:hyperlink r:id="rId233">
        <w:r>
          <w:rPr>
            <w:rFonts w:ascii="Times New Roman" w:cs="Times New Roman" w:eastAsia="Times New Roman" w:hAnsi="Times New Roman"/>
            <w:sz w:val="18"/>
            <w:szCs w:val="18"/>
            <w:u w:val="single" w:color="auto"/>
            <w:color w:val="0000FF"/>
          </w:rPr>
          <w:t>Indenture, dated as of May 15, 1994, between Sunoco, Inc. and U.S. Bank National Association, as successor trustee to Citibank, N.A.,</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relating to Sunoco, Inc.’s 9.00% Debentures due 2024 (incorporated by reference to Exhibit 4.8 to Form 8-K (File No. 1-31219) filed</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October 5, 2012)</w:t>
        </w:r>
      </w:hyperlink>
    </w:p>
    <w:tbl>
      <w:tblPr>
        <w:tblLayout w:type="fixed"/>
        <w:tblInd w:w="0" w:type="dxa"/>
        <w:tblCellMar>
          <w:top w:w="0" w:type="dxa"/>
          <w:left w:w="0" w:type="dxa"/>
          <w:bottom w:w="0" w:type="dxa"/>
          <w:right w:w="0" w:type="dxa"/>
        </w:tblCellMar>
      </w:tblPr>
      <w:tr>
        <w:trPr>
          <w:trHeight w:val="203"/>
        </w:trPr>
        <w:tc>
          <w:tcPr>
            <w:tcW w:w="1040" w:type="dxa"/>
            <w:vAlign w:val="bottom"/>
            <w:gridSpan w:val="3"/>
          </w:tcPr>
          <w:p>
            <w:pPr>
              <w:jc w:val="right"/>
              <w:ind w:right="700"/>
              <w:spacing w:after="0" w:line="203"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22</w:t>
              </w:r>
            </w:hyperlink>
          </w:p>
        </w:tc>
        <w:tc>
          <w:tcPr>
            <w:tcW w:w="10500" w:type="dxa"/>
            <w:vAlign w:val="bottom"/>
            <w:gridSpan w:val="38"/>
          </w:tcPr>
          <w:p>
            <w:pPr>
              <w:spacing w:after="0" w:line="203"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First Supplemental Indenture, dated as of October 5, 2012, among Energy Transfer Partners, L.P., Sunoco, Inc. and U.S. Bank National</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Association, as successor trustee to Citibank, N.A., to the Indenture, dated as of May 15, 1994 (incorporated by reference to Exhibit 4.9 to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8-K (File No. 1-11727) filed October 5, 2012)</w:t>
              </w:r>
            </w:hyperlink>
          </w:p>
        </w:tc>
        <w:tc>
          <w:tcPr>
            <w:tcW w:w="40" w:type="dxa"/>
            <w:vAlign w:val="bottom"/>
            <w:gridSpan w:val="2"/>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23</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Sixteenth Supplemental Indenture, dated as of September 21, 2017, by and among Sunoco Logistics Partners Operations L.P., as issuer,</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Energy Transfer Partners, L.P., as guarantor, and U.S. Bank National Association, as successor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0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Form 8-K (File No. 1-31219) filed September 25, 2017)</w:t>
              </w:r>
            </w:hyperlink>
          </w:p>
        </w:tc>
        <w:tc>
          <w:tcPr>
            <w:tcW w:w="58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24</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Fifteenth Supplemental Indenture, dated as of September 21, 2017, by and among Sunoco Logistics Partners Operations L.P., as issuer,</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Energy Transfer Partners, L.P., as guarantor, and U.S. Bank National Association, as successor trustee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Form 8-K (File No. 1-31219) filed September 25, 2017)</w:t>
              </w:r>
            </w:hyperlink>
          </w:p>
        </w:tc>
        <w:tc>
          <w:tcPr>
            <w:tcW w:w="58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25</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Third Supplemental Indenture, dated as of December 12, 2017, by and among Energy Transfer Partners, L.P., Sunoco Logistics Partners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Operations L.P. and U.S. Bank National Association, as trustee (incorporated by reference to Exhibit 10.1 to Form 8-K (File No. 1-31219)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filed December 15,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26</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Eighteenth Supplemental Indenture, dated as of December 12, 2017, by and among Energy Transfer Partners, L.P., Sunoco Logistics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Partners Operations L.P. and U.S. Bank National Association, as trustee (incorporated by reference to Exhibit 10.2 to Form 8-K (File No. 1-</w:t>
              </w:r>
            </w:hyperlink>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31219) filed December 15, 2017)</w:t>
              </w:r>
            </w:hyperlink>
          </w:p>
        </w:tc>
        <w:tc>
          <w:tcPr>
            <w:tcW w:w="80" w:type="dxa"/>
            <w:vAlign w:val="bottom"/>
            <w:gridSpan w:val="4"/>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27</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Tenth Supplemental Indenture, dated as of December 12, 2017, by and among Energy Transfer Partners, L.P., Regency Energy Finance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Corp., Sunoco Logistics Partners Operations L.P. and Wells Fargo Bank, National Association, as trustee (incorporated by reference to</w:t>
              </w:r>
            </w:hyperlink>
          </w:p>
        </w:tc>
        <w:tc>
          <w:tcPr>
            <w:tcW w:w="80" w:type="dxa"/>
            <w:vAlign w:val="bottom"/>
            <w:gridSpan w:val="4"/>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Exhibit 10.3 to Form 8-K (File No. 1-31219) filed December 15,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28</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Eleventh Supplemental Indenture, dated as of December 12, 2017, by and among Energy Transfer Partners, L.P., Regency Energy Finance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Corp., Sunoco Logistics Partners Operations L.P. and Wells Fargo Bank, National Association, as trustee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Exhibit 10.4 to Form 8-K (File No. 1-31219) filed December 15,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29</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Second Supplemental Indenture, dated as of December 1, 2017, by and between Energy Transfer Partners, L.P. and U.S. Bank National</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Association, as trustee (incorporated by reference to Exhibit 10.6 to Form 8-K (File No. 1-31219) filed December 6, 2017)</w:t>
              </w:r>
            </w:hyperlink>
          </w:p>
        </w:tc>
        <w:tc>
          <w:tcPr>
            <w:tcW w:w="13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30</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Indenture, dated as of June 8, 2018, among Energy Transfer Partners, L.P. as issuer, Sunoco Logistics Partners Operations L.P., as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guarantor, and U.S. Bank National Association, as trustee (incorporated by reference to Exhibit 4.1 to Form 8-K (File No. 1-31219) filed</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June 8, 2018)</w:t>
              </w:r>
            </w:hyperlink>
          </w:p>
        </w:tc>
        <w:tc>
          <w:tcPr>
            <w:tcW w:w="908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31</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First Supplemental Indenture, dated as of June 8, 2018, by and among Energy Transfer Partners, L.P., as issuer, the subsidiary guarantors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named therein, and U.S. Bank National Association, as trustee (incorporated by reference to Exhibit 4.2 to Form 8-K (File No. 1-31219)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80" w:type="dxa"/>
            <w:vAlign w:val="bottom"/>
            <w:gridSpan w:val="27"/>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filed June 8,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32</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Second Supplemental Indenture, dated as of January 15, 2019, by and among Energy Transfer Operating, L.P., as issuer, the subsidiary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guarantors named therein, and U.S. Bank National Association, as trustee (incorporated by reference to Exhibit 4.2 to Form 8-K (File No.</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1-31219) filed January 15, 2019)</w:t>
              </w:r>
            </w:hyperlink>
          </w:p>
        </w:tc>
        <w:tc>
          <w:tcPr>
            <w:tcW w:w="80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33</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Third Supplemental Indenture, dated as of March 25, 2019, by and among Energy Transfer Operating, L.P., as issuer, the subsidiary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guarantors named therein, and U.S. Bank National Association, as trustee (incorporated by reference to Exhibit 4.2 to Form 8-K (File No.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1-31219) filed March 27, 2019)</w:t>
              </w:r>
            </w:hyperlink>
          </w:p>
        </w:tc>
        <w:tc>
          <w:tcPr>
            <w:tcW w:w="20" w:type="dxa"/>
            <w:vAlign w:val="bottom"/>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34</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Fourth Supplemental Indenture dated as of January 22, 2020, by and among Energy Transfer Operating, L.P., as issuer, the subsidiary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guarantors named therein, U.S. Bank National Association, as trustee (incorporated by reference to Exhibit 4.2 to Form 8-K (File No. 1-</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0" w:type="dxa"/>
            <w:vAlign w:val="bottom"/>
            <w:gridSpan w:val="33"/>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31219) filed January 22, 2020)</w:t>
              </w:r>
            </w:hyperlink>
          </w:p>
        </w:tc>
        <w:tc>
          <w:tcPr>
            <w:tcW w:w="100" w:type="dxa"/>
            <w:vAlign w:val="bottom"/>
            <w:gridSpan w:val="5"/>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35</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Fifth Supplemental Indenture, dated as of December 28, 2021, by and among Energy Transfer LP, Enable Midstream Partners, LP and U.S.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5"/>
          </w:tcPr>
          <w:p>
            <w:pPr>
              <w:spacing w:after="0" w:line="156" w:lineRule="exact"/>
              <w:rPr>
                <w:rFonts w:ascii="Times New Roman" w:cs="Times New Roman" w:eastAsia="Times New Roman" w:hAnsi="Times New Roman"/>
                <w:sz w:val="18"/>
                <w:szCs w:val="18"/>
                <w:color w:val="0000FF"/>
                <w:highlight w:val="white"/>
              </w:rPr>
            </w:pPr>
            <w:hyperlink r:id="rId247">
              <w:r>
                <w:rPr>
                  <w:rFonts w:ascii="Times New Roman" w:cs="Times New Roman" w:eastAsia="Times New Roman" w:hAnsi="Times New Roman"/>
                  <w:sz w:val="18"/>
                  <w:szCs w:val="18"/>
                  <w:color w:val="0000FF"/>
                  <w:highlight w:val="white"/>
                </w:rPr>
                <w:t>Bank National Association</w:t>
              </w:r>
            </w:hyperlink>
          </w:p>
        </w:tc>
        <w:tc>
          <w:tcPr>
            <w:tcW w:w="8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 by reference to Exhibit 4.1 to Form 8-K (File No. 1-32740) filed December 28, 2021)</w:t>
              </w:r>
            </w:hyperlink>
          </w:p>
        </w:tc>
        <w:tc>
          <w:tcPr>
            <w:tcW w:w="140" w:type="dxa"/>
            <w:vAlign w:val="bottom"/>
            <w:gridSpan w:val="7"/>
          </w:tcPr>
          <w:p>
            <w:pPr>
              <w:spacing w:after="0"/>
              <w:rPr>
                <w:sz w:val="13"/>
                <w:szCs w:val="13"/>
                <w:color w:val="auto"/>
              </w:rPr>
            </w:pPr>
          </w:p>
        </w:tc>
      </w:tr>
      <w:tr>
        <w:trPr>
          <w:trHeight w:val="20"/>
        </w:trPr>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6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36</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Indenture, dated as of May 27, 2014, by and among Enable Midstream Partners, LP, CenterPoint Energy Resources Corp., as guarantor,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U.S. Bank National Association, as trustee (incorporated by reference to Exhibit 4.1 to Form 8-K (File No. 1-36413) filed May 29, 2014)</w:t>
              </w:r>
            </w:hyperlink>
          </w:p>
        </w:tc>
        <w:tc>
          <w:tcPr>
            <w:tcW w:w="2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37</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First Supplemental Indenture, dated as of May 27, 2014, by and among Enable Midstream Partners, LP, as issuer, CenterPoint Energy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Resources Corp., as guarantor and U.S. Bank National Association, as trustee (incorporated by reference to Exhibit 4.2 to Form 8-K (File</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6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No. 1-36413) filed May 29, 2014)</w:t>
              </w:r>
            </w:hyperlink>
          </w:p>
        </w:tc>
        <w:tc>
          <w:tcPr>
            <w:tcW w:w="7760" w:type="dxa"/>
            <w:vAlign w:val="bottom"/>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23"/>
        </w:trPr>
        <w:tc>
          <w:tcPr>
            <w:tcW w:w="1040" w:type="dxa"/>
            <w:vAlign w:val="bottom"/>
            <w:gridSpan w:val="3"/>
          </w:tcPr>
          <w:p>
            <w:pPr>
              <w:jc w:val="right"/>
              <w:ind w:right="700"/>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38</w:t>
              </w:r>
            </w:hyperlink>
          </w:p>
        </w:tc>
        <w:tc>
          <w:tcPr>
            <w:tcW w:w="10500" w:type="dxa"/>
            <w:vAlign w:val="bottom"/>
            <w:gridSpan w:val="38"/>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Second Supplemental Indenture, dated as of March 9, 2017, by and among Enable Midstream Partners, LP, as issuer, CenterPoint Energy</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Resources Corp., as guarantor and U.S. Bank National Association, as trustee (incorporated by reference to Exhibit 4.2 to Form 8-K (File</w:t>
              </w:r>
            </w:hyperlink>
          </w:p>
        </w:tc>
        <w:tc>
          <w:tcPr>
            <w:tcW w:w="180" w:type="dxa"/>
            <w:vAlign w:val="bottom"/>
            <w:gridSpan w:val="9"/>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No. 1-36413) filed March 9, 2017)</w:t>
              </w:r>
            </w:hyperlink>
          </w:p>
        </w:tc>
        <w:tc>
          <w:tcPr>
            <w:tcW w:w="280" w:type="dxa"/>
            <w:vAlign w:val="bottom"/>
            <w:gridSpan w:val="14"/>
          </w:tcPr>
          <w:p>
            <w:pPr>
              <w:spacing w:after="0"/>
              <w:rPr>
                <w:sz w:val="13"/>
                <w:szCs w:val="13"/>
                <w:color w:val="auto"/>
              </w:rPr>
            </w:pPr>
          </w:p>
        </w:tc>
      </w:tr>
      <w:tr>
        <w:trPr>
          <w:trHeight w:val="88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top w:val="single" w:sz="8" w:color="0000FF"/>
            </w:tcBorders>
            <w:gridSpan w:val="8"/>
          </w:tcPr>
          <w:p>
            <w:pPr>
              <w:spacing w:after="0"/>
              <w:rPr>
                <w:sz w:val="24"/>
                <w:szCs w:val="24"/>
                <w:color w:val="auto"/>
              </w:rPr>
            </w:pPr>
          </w:p>
        </w:tc>
        <w:tc>
          <w:tcPr>
            <w:tcW w:w="26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161</w:t>
            </w: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50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50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39</w:t>
              </w:r>
            </w:hyperlink>
          </w:p>
        </w:tc>
        <w:tc>
          <w:tcPr>
            <w:tcW w:w="260" w:type="dxa"/>
            <w:vAlign w:val="bottom"/>
          </w:tcPr>
          <w:p>
            <w:pPr>
              <w:spacing w:after="0"/>
              <w:rPr>
                <w:sz w:val="18"/>
                <w:szCs w:val="18"/>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Third Supplemental Indenture, dated as of May 10, 2018, by and among Enable Midstream Partners, LP, as issuer, and U.S. Bank National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Association, as trustee (incorporated by reference to Exhibit 4.2 to Form 8-K (File No. 1-36413) filed May 10,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40</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Fourth Supplemental Indenture, dated as of September 13, 2019, by and among Enable Midstream Partners, LP, as issuer, and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National Association, as trustee (incorporated by reference to Exhibit 4.2 to Form 8-K (File No. 1-36413) filed September 13,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41</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Indenture, dated as of March 29, 1999, among CMS Panhandle Holding Company, Panhandle Eastern Pipe Line Company and NBD Bank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(the predecessor to Bank One Trust Company, National Association, J.P. Morgan Trust Company, National Association,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York Trust Company, N.A. and The Bank of New York Mellon Trust Company, N.A.), as Trustee (incorporated by reference to Exhibit 4(a)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to Form 10-Q (File No. 001-02921) filed May 15, 1999)</w:t>
              </w:r>
            </w:hyperlink>
          </w:p>
        </w:tc>
        <w:tc>
          <w:tcPr>
            <w:tcW w:w="628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42</w:t>
              </w:r>
            </w:hyperlink>
          </w:p>
        </w:tc>
        <w:tc>
          <w:tcPr>
            <w:tcW w:w="260" w:type="dxa"/>
            <w:vAlign w:val="bottom"/>
          </w:tcPr>
          <w:p>
            <w:pPr>
              <w:spacing w:after="0"/>
              <w:rPr>
                <w:sz w:val="18"/>
                <w:szCs w:val="18"/>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First Supplemental Indenture dated, as of March 29, 1999, among CMS Panhandle Holding Company, Panhandle Eastern Pipe Line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3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Company and NBD Bank (the predecessor to Bank One Trust Company, National Association, J.P. Morgan Trust Company, National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Association, The Bank of New York Trust Company, N.A. and The Bank of New York Mellon Trust Company, N.A.), as Trustee, including</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40" w:type="dxa"/>
            <w:vAlign w:val="bottom"/>
            <w:gridSpan w:val="33"/>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 form of Guarantee by Panhandle Eastern Pipe Line Company of the obligations of CMS Panhandle Holding Company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reference to Exhibit 4(b) to Form 10-Q (File No. 001-02921) filed May 15, 1999)</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43</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Second Supplemental Indenture between Southern Union Company and The Bank of New York, N.A., as Trustee, dated as of October 23,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2006 (incorporated Second Supplemental Indenture between Southern Union Company and The Bank of New York, N.A., as Trustee,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as of October 23, 2006 (incorporated by reference to Form 8-K/A (File No. 001-06407) filed October 26, 2006)</w:t>
              </w:r>
            </w:hyperlink>
          </w:p>
        </w:tc>
        <w:tc>
          <w:tcPr>
            <w:tcW w:w="21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44</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Third Supplemental Indenture, dated as of June 24, 2013, between Southern Union Company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Company, N.A., as Trustee (incorporated by reference to Exhibit 4.3 to Form 8-K (File No. 001-06407) filed June 26, 2013)</w:t>
              </w:r>
            </w:hyperlink>
          </w:p>
        </w:tc>
        <w:tc>
          <w:tcPr>
            <w:tcW w:w="15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45</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Sixth Supplemental Indenture, dated as of June 12, 2008, between PEPL and The Bank of New York Trust Company, N.A. (now</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known as The Bank of New York Mellon Trust Company, N.A.), as Trustee (incorporated by reference to Exhibit 4.1 to Form 8-K (File No.</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62">
              <w:r>
                <w:rPr>
                  <w:rFonts w:ascii="Times New Roman" w:cs="Times New Roman" w:eastAsia="Times New Roman" w:hAnsi="Times New Roman"/>
                  <w:sz w:val="18"/>
                  <w:szCs w:val="18"/>
                  <w:color w:val="0000FF"/>
                  <w:w w:val="98"/>
                </w:rPr>
                <w:t>001-02921) filed June 11, 2008)</w:t>
              </w:r>
            </w:hyperlink>
          </w:p>
        </w:tc>
        <w:tc>
          <w:tcPr>
            <w:tcW w:w="7900" w:type="dxa"/>
            <w:vAlign w:val="bottom"/>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46</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Seventh Supplemental Indenture, to be dated as of June 2, 2009, between PEPL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Company, N.A. (incorporated by reference to Exhibit 4.1 to Form 8-K (File No. 001-02921) filed May 28, 2009)</w:t>
              </w:r>
            </w:hyperlink>
          </w:p>
        </w:tc>
        <w:tc>
          <w:tcPr>
            <w:tcW w:w="200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47</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Supplemental Indenture No. 3, dated as of June 24, 2013 between Southern Union Company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9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Company, N.A., as Trustee (incorporated by reference to Exhibit 4.1 to Form 8-K (File No. 001-06407) filed June 26, 2013)</w:t>
              </w:r>
            </w:hyperlink>
          </w:p>
        </w:tc>
        <w:tc>
          <w:tcPr>
            <w:tcW w:w="142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48</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Supplemental Indenture No. 4, dated as of June 24, 2013, between Southern Union Company and The Bank of New York Mellon Trust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9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Company, N.A., as Trustee (incorporated by reference to Exhibit 4.2 to Form 8-K (File No. 001-06407) filed June 26, 2013)</w:t>
              </w:r>
            </w:hyperlink>
          </w:p>
        </w:tc>
        <w:tc>
          <w:tcPr>
            <w:tcW w:w="1120" w:type="dxa"/>
            <w:vAlign w:val="bottom"/>
            <w:tcBorders>
              <w:top w:val="single" w:sz="8" w:color="0000FF"/>
            </w:tcBorders>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49</w:t>
              </w:r>
            </w:hyperlink>
          </w:p>
        </w:tc>
        <w:tc>
          <w:tcPr>
            <w:tcW w:w="260" w:type="dxa"/>
            <w:vAlign w:val="bottom"/>
          </w:tcPr>
          <w:p>
            <w:pPr>
              <w:spacing w:after="0"/>
              <w:rPr>
                <w:sz w:val="19"/>
                <w:szCs w:val="19"/>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Third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(incorporated by reference to Exhibit 10.1 to Form 8-K (File No. 1-32740) filed April 2, 2021)</w:t>
              </w:r>
            </w:hyperlink>
          </w:p>
        </w:tc>
        <w:tc>
          <w:tcPr>
            <w:tcW w:w="3520" w:type="dxa"/>
            <w:vAlign w:val="bottom"/>
            <w:tcBorders>
              <w:top w:val="single" w:sz="8" w:color="0000FF"/>
            </w:tcBorders>
            <w:gridSpan w:val="2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50</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Fourth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(incorporated by reference to Exhibit 10.2 to Form 8-K (File No. 1-32740) filed April 2, 2021)</w:t>
              </w:r>
            </w:hyperlink>
          </w:p>
        </w:tc>
        <w:tc>
          <w:tcPr>
            <w:tcW w:w="3460" w:type="dxa"/>
            <w:vAlign w:val="bottom"/>
            <w:tcBorders>
              <w:top w:val="single" w:sz="8" w:color="0000FF"/>
            </w:tcBorders>
            <w:gridSpan w:val="19"/>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51</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Fifth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(incorporated by reference to Exhibit 10.3 to Form 8-K (File No. 1-32740) filed April 2, 2021)</w:t>
              </w:r>
            </w:hyperlink>
          </w:p>
        </w:tc>
        <w:tc>
          <w:tcPr>
            <w:tcW w:w="360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52</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Seventeenth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(incorporated by reference to Exhibit 10.4 to Form 8-K (File No. 1-32740) filed April 2, 2021)</w:t>
              </w:r>
            </w:hyperlink>
          </w:p>
        </w:tc>
        <w:tc>
          <w:tcPr>
            <w:tcW w:w="364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53</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Nineteenth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(incorporated by reference to Exhibit 10.5 to Form 8-K (File No. 1-32740) filed April 2, 2021)</w:t>
              </w:r>
            </w:hyperlink>
          </w:p>
        </w:tc>
        <w:tc>
          <w:tcPr>
            <w:tcW w:w="34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54</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Eleventh Supplemental Indenture, dated April 1, 2021 by and between Energy Transfer LP, Regency Energy Finance Corp., and Wells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Fargo Bank, National Association (incorporated by reference to Exhibit 10.6 to Form 8-K (File No. 1-32740) filed April 2, 2021)</w:t>
              </w:r>
            </w:hyperlink>
          </w:p>
        </w:tc>
        <w:tc>
          <w:tcPr>
            <w:tcW w:w="60" w:type="dxa"/>
            <w:vAlign w:val="bottom"/>
            <w:gridSpan w:val="3"/>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10"/>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55</w:t>
              </w:r>
            </w:hyperlink>
          </w:p>
        </w:tc>
        <w:tc>
          <w:tcPr>
            <w:tcW w:w="260" w:type="dxa"/>
            <w:vAlign w:val="bottom"/>
          </w:tcPr>
          <w:p>
            <w:pPr>
              <w:spacing w:after="0"/>
              <w:rPr>
                <w:sz w:val="20"/>
                <w:szCs w:val="20"/>
                <w:color w:val="auto"/>
              </w:rPr>
            </w:pPr>
          </w:p>
        </w:tc>
        <w:tc>
          <w:tcPr>
            <w:tcW w:w="10500" w:type="dxa"/>
            <w:vAlign w:val="bottom"/>
            <w:gridSpan w:val="36"/>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Twelfth Supplemental Indenture, dated April 1, 2021 by and between Energy Transfer LP, Regency Energy Finance Corp., and Wells Fargo</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Bank, National Association (incorporated by reference to Exhibit 10.7 to Form 8-K (File No. 1-32740) filed April 2, 2021)</w:t>
              </w:r>
            </w:hyperlink>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tcBorders>
              <w:top w:val="single" w:sz="8" w:color="0000FF"/>
            </w:tcBorders>
            <w:gridSpan w:val="4"/>
          </w:tcPr>
          <w:p>
            <w:pPr>
              <w:jc w:val="right"/>
              <w:ind w:right="1140"/>
              <w:spacing w:after="0"/>
              <w:rPr>
                <w:sz w:val="20"/>
                <w:szCs w:val="20"/>
                <w:color w:val="auto"/>
              </w:rPr>
            </w:pPr>
            <w:r>
              <w:rPr>
                <w:rFonts w:ascii="Times New Roman" w:cs="Times New Roman" w:eastAsia="Times New Roman" w:hAnsi="Times New Roman"/>
                <w:sz w:val="18"/>
                <w:szCs w:val="18"/>
                <w:color w:val="auto"/>
              </w:rPr>
              <w:t>162</w:t>
            </w:r>
          </w:p>
        </w:tc>
        <w:tc>
          <w:tcPr>
            <w:tcW w:w="9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80" w:type="dxa"/>
            <w:vAlign w:val="bottom"/>
            <w:gridSpan w:val="3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8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56</w:t>
              </w:r>
            </w:hyperlink>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Sixth Supplemental Indenture, dated as of April 30, 2015, by and among Regency Energy Partners LP, Regency Energy Finance Corp.,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subsidiary guarantors party thereto, Panhandle Eastern Pipe Line Company, LP, as guarantor, and Wells Fargo Bank, National Association,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as trustee (incorporated by reference to Exhibit 10.3 to Form 8-K (File No. 1-11727) filed April 30, 2015)</w:t>
              </w:r>
            </w:hyperlink>
          </w:p>
        </w:tc>
        <w:tc>
          <w:tcPr>
            <w:tcW w:w="246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57</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Eighth Supplemental Indenture, dated as of April 30, 2015, by and among Regency Energy Partners LP, Regency Energy Finance Corp.,</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1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the subsidiary guarantors party thereto, Energy Transfer Partners, L.P., as parent guarantor, and Wells Fargo Bank, National Association,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0" w:type="dxa"/>
            <w:vAlign w:val="bottom"/>
            <w:gridSpan w:val="34"/>
          </w:tcPr>
          <w:p>
            <w:pPr>
              <w:spacing w:after="0" w:line="169"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trustee (incorporated by reference to Exhibit 10.4 to Form 8-K (File No. 1-11727) filed April 30,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58</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Seventh Supplemental Indenture, dated as of May 28, 2015, by and among Regency Energy Partners LP, Regency Energy Finance Corp.,</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the subsidiary guarantors party thereto, Panhandle Eastern Pipe Line Company, LP, Energy Transfer Partners, L.P., as co-obligor, and Wells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Fargo Bank, National Association, as trustee (incorporated by reference to Exhibit 10.1 to Form 8-K (File No. 1-11727) filed June 1, 2015)</w:t>
              </w:r>
            </w:hyperlink>
          </w:p>
        </w:tc>
        <w:tc>
          <w:tcPr>
            <w:tcW w:w="3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59</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Eighth Supplemental Indenture, dated as of August 10, 2015, by and among Energy Transfer Partners, L.P., Regency Energy Finance Corp.</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2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and Wells Fargo Bank, National Association, as trustee (incorporated by reference to Exhibit 10.2 to Form 8-K (File No. 1-11727)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85">
              <w:r>
                <w:rPr>
                  <w:rFonts w:ascii="Times New Roman" w:cs="Times New Roman" w:eastAsia="Times New Roman" w:hAnsi="Times New Roman"/>
                  <w:sz w:val="18"/>
                  <w:szCs w:val="18"/>
                  <w:color w:val="0000FF"/>
                  <w:w w:val="98"/>
                </w:rPr>
                <w:t>August 13, 2015)</w:t>
              </w:r>
            </w:hyperlink>
          </w:p>
        </w:tc>
        <w:tc>
          <w:tcPr>
            <w:tcW w:w="9160" w:type="dxa"/>
            <w:vAlign w:val="bottom"/>
            <w:gridSpan w:val="3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60</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Ninth Supplemental Indenture, dated as of December 1, 2017 by and among Energy Transfer Partners, L.P., Regency Energy Finance Corp.</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and Wells Fargo Bank, National Association, as trustee (incorporated by reference to Exhibit 10.9 to Form 8-K (File No. 1-31219) filed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December 6, 2017)</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61</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Ninth Supplemental Indenture, dated as of August 10, 2015, by and among Energy Transfer Partners, L.P., Regency Energy Finance Corp.</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and Wells Fargo Bank, National Association, as trustee (incorporated by reference to Exhibit 10.3 to Form 8-K (File No. 1-11727)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89">
              <w:r>
                <w:rPr>
                  <w:rFonts w:ascii="Times New Roman" w:cs="Times New Roman" w:eastAsia="Times New Roman" w:hAnsi="Times New Roman"/>
                  <w:sz w:val="18"/>
                  <w:szCs w:val="18"/>
                  <w:color w:val="0000FF"/>
                  <w:w w:val="98"/>
                </w:rPr>
                <w:t>August 13, 2015)</w:t>
              </w:r>
            </w:hyperlink>
          </w:p>
        </w:tc>
        <w:tc>
          <w:tcPr>
            <w:tcW w:w="916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62</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Tenth Supplemental Indenture, dated as of December 1, 2017, by and among Energy Transfer Partners, L.P., Regency Energy Finance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14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Corp. and Wells Fargo Bank, National Association, as trustee (incorporated by reference to Exhibit 10.10 to Form 8-K (File No. 1-31219)</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290">
              <w:r>
                <w:rPr>
                  <w:rFonts w:ascii="Times New Roman" w:cs="Times New Roman" w:eastAsia="Times New Roman" w:hAnsi="Times New Roman"/>
                  <w:sz w:val="18"/>
                  <w:szCs w:val="18"/>
                  <w:color w:val="0000FF"/>
                  <w:w w:val="98"/>
                </w:rPr>
                <w:t>filed December 6, 2017)</w:t>
              </w:r>
            </w:hyperlink>
          </w:p>
        </w:tc>
        <w:tc>
          <w:tcPr>
            <w:tcW w:w="856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63</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Supplemental Indenture No. 6,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Bank of New York Mellon Trust Company, as Trustee (incorporated by reference to Exhibit 10.1 to Form 8-K (File No. 1-2921) filed</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8"/>
              </w:rPr>
            </w:pPr>
            <w:hyperlink r:id="rId291">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64</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Fifth Supplemental Indenture,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Bank of New York Mellon Trust Company, as Trustee (incorporated by reference to Exhibit 10.2 to Form 8-K (File No. 1-2921) filed</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8"/>
              </w:rPr>
            </w:pPr>
            <w:hyperlink r:id="rId292">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65</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Eighth Supplemental Indenture,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Bank of New York Mellon Trust Company, as Trustee (incorporated by reference to Exhibit 10.3 to Form 8-K (File No. 1-2921) filed</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8"/>
              </w:rPr>
            </w:pPr>
            <w:hyperlink r:id="rId293">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66</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Indenture, dated as of December 14, 2022, between Energy Transfer LP, as issuer, and U.S. Bank Trust Company, National Association,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68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trustee (incorporated by reference to Exhibit 4.1 to Form 8-K (File No. 1-32740) filed December 14, 2022)</w:t>
              </w:r>
            </w:hyperlink>
          </w:p>
        </w:tc>
        <w:tc>
          <w:tcPr>
            <w:tcW w:w="24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67</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First Supplemental Indenture, dated as of December 14, 2022, between Energy Transfer LP, as issuer, and U.S. Bank Trust Company,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4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National Association, as trustee (incorporated by reference to Exhibit 4.2 to Form 8-K (File No. 1-32740) filed December 14, 2022)</w:t>
              </w:r>
            </w:hyperlink>
          </w:p>
        </w:tc>
        <w:tc>
          <w:tcPr>
            <w:tcW w:w="74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68</w:t>
              </w:r>
            </w:hyperlink>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Series C</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Preferred Units (incorporated by reference to Exhibit 4.43 to Form 10-K (File No. 1-32740) filed February 18, 2022)</w:t>
              </w:r>
            </w:hyperlink>
          </w:p>
        </w:tc>
        <w:tc>
          <w:tcPr>
            <w:tcW w:w="18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69</w:t>
              </w:r>
            </w:hyperlink>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Series 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Preferred Units (incorporated by reference to Exhibit 4.44 to Form 10-K (File No. 1-32740) filed February 18, 2022)</w:t>
              </w:r>
            </w:hyperlink>
          </w:p>
        </w:tc>
        <w:tc>
          <w:tcPr>
            <w:tcW w:w="168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70</w:t>
              </w:r>
            </w:hyperlink>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Series 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Preferred Units (incorporated by reference to Exhibit 4.45 to Form 10-K (File No. 1-32740) filed February 18, 2022)</w:t>
              </w:r>
            </w:hyperlink>
          </w:p>
        </w:tc>
        <w:tc>
          <w:tcPr>
            <w:tcW w:w="192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common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units</w:t>
            </w: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60" w:type="dxa"/>
            <w:vAlign w:val="bottom"/>
          </w:tcPr>
          <w:p>
            <w:pPr>
              <w:spacing w:after="0"/>
              <w:rPr>
                <w:sz w:val="19"/>
                <w:szCs w:val="19"/>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Amended and Restated Energy Transfer LP Long-Term Incentive Plan (formerly Amended and Restated Energy Transfer Equity, L.P.</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Long-Term Incentive Plan) (incorporated by reference to Exhibit 10.1 to Form 10-K (File No. 1-32740) filed February 23, 2018)</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80" w:type="dxa"/>
            <w:vAlign w:val="bottom"/>
            <w:gridSpan w:val="5"/>
            <w:shd w:val="clear" w:color="auto" w:fill="0000FF"/>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60" w:type="dxa"/>
            <w:vAlign w:val="bottom"/>
          </w:tcPr>
          <w:p>
            <w:pPr>
              <w:spacing w:after="0"/>
              <w:rPr>
                <w:sz w:val="19"/>
                <w:szCs w:val="19"/>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First Amendment to the Amended and Restated Energy Transfer LP Long-Term Incentive Plan (incorporated by reference to Exhibit 10.2</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to Form 10-K (File No. 1-32740) filed February 19, 2021)</w:t>
              </w:r>
            </w:hyperlink>
          </w:p>
        </w:tc>
        <w:tc>
          <w:tcPr>
            <w:tcW w:w="6080" w:type="dxa"/>
            <w:vAlign w:val="bottom"/>
            <w:tcBorders>
              <w:top w:val="single" w:sz="8" w:color="0000FF"/>
            </w:tcBorders>
            <w:gridSpan w:val="20"/>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ind w:left="20"/>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60" w:type="dxa"/>
            <w:vAlign w:val="bottom"/>
          </w:tcPr>
          <w:p>
            <w:pPr>
              <w:spacing w:after="0"/>
              <w:rPr>
                <w:sz w:val="19"/>
                <w:szCs w:val="19"/>
                <w:color w:val="auto"/>
              </w:rPr>
            </w:pPr>
          </w:p>
        </w:tc>
        <w:tc>
          <w:tcPr>
            <w:tcW w:w="10480" w:type="dxa"/>
            <w:vAlign w:val="bottom"/>
            <w:gridSpan w:val="38"/>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Second Amendment to the Amended and Restated Energy Transfer LP Long-Term Incentive Plan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 No. 1-32740) filed January 6, 2021)</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tcBorders>
            <w:gridSpan w:val="8"/>
          </w:tcPr>
          <w:p>
            <w:pPr>
              <w:spacing w:after="0"/>
              <w:rPr>
                <w:sz w:val="24"/>
                <w:szCs w:val="24"/>
                <w:color w:val="auto"/>
              </w:rPr>
            </w:pPr>
          </w:p>
        </w:tc>
        <w:tc>
          <w:tcPr>
            <w:tcW w:w="314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u w:val="single" w:color="auto"/>
          <w:color w:val="auto"/>
        </w:rPr>
        <w:t>Number</w:t>
        <w:tab/>
        <w:t>Description</w:t>
      </w:r>
    </w:p>
    <w:p>
      <w:pPr>
        <w:spacing w:after="0" w:line="21" w:lineRule="exact"/>
        <w:rPr>
          <w:sz w:val="20"/>
          <w:szCs w:val="20"/>
          <w:color w:val="auto"/>
        </w:rPr>
      </w:pPr>
    </w:p>
    <w:p>
      <w:pPr>
        <w:jc w:val="both"/>
        <w:ind w:left="1040" w:right="20" w:hanging="1011"/>
        <w:spacing w:after="0" w:line="234" w:lineRule="auto"/>
        <w:tabs>
          <w:tab w:leader="none" w:pos="1020" w:val="left"/>
        </w:tabs>
        <w:rPr>
          <w:rFonts w:ascii="Times New Roman" w:cs="Times New Roman" w:eastAsia="Times New Roman" w:hAnsi="Times New Roman"/>
          <w:sz w:val="18"/>
          <w:szCs w:val="18"/>
          <w:u w:val="single" w:color="auto"/>
          <w:color w:val="0000FF"/>
        </w:rPr>
      </w:pPr>
      <w:hyperlink r:id="rId304">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304">
        <w:r>
          <w:rPr>
            <w:rFonts w:ascii="Times New Roman" w:cs="Times New Roman" w:eastAsia="Times New Roman" w:hAnsi="Times New Roman"/>
            <w:sz w:val="18"/>
            <w:szCs w:val="18"/>
            <w:u w:val="single" w:color="auto"/>
            <w:color w:val="0000FF"/>
          </w:rPr>
          <w:t>Energy Transfer LP Long-Term Cash Restricted Unit Plan (incorporated by reference to Exhibit 10.2 to Form 8-K (File No. 1-32740) filed</w:t>
        </w:r>
      </w:hyperlink>
      <w:r>
        <w:rPr>
          <w:rFonts w:ascii="Times New Roman" w:cs="Times New Roman" w:eastAsia="Times New Roman" w:hAnsi="Times New Roman"/>
          <w:sz w:val="18"/>
          <w:szCs w:val="18"/>
          <w:u w:val="single" w:color="auto"/>
          <w:color w:val="0000FF"/>
        </w:rPr>
        <w:t xml:space="preserve"> </w:t>
      </w:r>
      <w:hyperlink r:id="rId304">
        <w:r>
          <w:rPr>
            <w:rFonts w:ascii="Times New Roman" w:cs="Times New Roman" w:eastAsia="Times New Roman" w:hAnsi="Times New Roman"/>
            <w:sz w:val="18"/>
            <w:szCs w:val="18"/>
            <w:u w:val="single" w:color="auto"/>
            <w:color w:val="0000FF"/>
          </w:rPr>
          <w:t>January 6, 2021)</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05">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305">
        <w:r>
          <w:rPr>
            <w:rFonts w:ascii="Times New Roman" w:cs="Times New Roman" w:eastAsia="Times New Roman" w:hAnsi="Times New Roman"/>
            <w:sz w:val="18"/>
            <w:szCs w:val="18"/>
            <w:u w:val="single" w:color="auto"/>
            <w:color w:val="0000FF"/>
          </w:rPr>
          <w:t>Form of Cash Unit Award Agreement under the Energy Transfer LP Long-Term Cash Restricted Unit Plan (incorporated by reference to</w:t>
        </w:r>
      </w:hyperlink>
      <w:r>
        <w:rPr>
          <w:rFonts w:ascii="Times New Roman" w:cs="Times New Roman" w:eastAsia="Times New Roman" w:hAnsi="Times New Roman"/>
          <w:sz w:val="18"/>
          <w:szCs w:val="18"/>
          <w:u w:val="single" w:color="auto"/>
          <w:color w:val="0000FF"/>
        </w:rPr>
        <w:t xml:space="preserve"> </w:t>
      </w:r>
      <w:hyperlink r:id="rId305">
        <w:r>
          <w:rPr>
            <w:rFonts w:ascii="Times New Roman" w:cs="Times New Roman" w:eastAsia="Times New Roman" w:hAnsi="Times New Roman"/>
            <w:sz w:val="18"/>
            <w:szCs w:val="18"/>
            <w:u w:val="single" w:color="auto"/>
            <w:color w:val="0000FF"/>
          </w:rPr>
          <w:t>Exhibit 10.3 to Form 8-K (File No. 1-32740) filed January 6, 2021)</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26" w:lineRule="auto"/>
        <w:tabs>
          <w:tab w:leader="none" w:pos="1020" w:val="left"/>
        </w:tabs>
        <w:rPr>
          <w:rFonts w:ascii="Times New Roman" w:cs="Times New Roman" w:eastAsia="Times New Roman" w:hAnsi="Times New Roman"/>
          <w:sz w:val="18"/>
          <w:szCs w:val="18"/>
          <w:u w:val="single" w:color="auto"/>
          <w:color w:val="0000FF"/>
        </w:rPr>
      </w:pPr>
      <w:hyperlink r:id="rId306">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306">
        <w:r>
          <w:rPr>
            <w:rFonts w:ascii="Times New Roman" w:cs="Times New Roman" w:eastAsia="Times New Roman" w:hAnsi="Times New Roman"/>
            <w:sz w:val="18"/>
            <w:szCs w:val="18"/>
            <w:u w:val="single" w:color="auto"/>
            <w:color w:val="0000FF"/>
          </w:rPr>
          <w:t>Second Amended and Restated Energy Transfer LP 2008 Long-Term Incentive Plan (formerly Second Amended and Restated Energy</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Transfer Partners, L.P. 2008 Long-Term Incentive Plan) (incorporated by reference to Exhibit 4.1 to Form S-8 (File No. 333-229456) filed</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January 31, 2019)</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04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07">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307">
        <w:r>
          <w:rPr>
            <w:rFonts w:ascii="Times New Roman" w:cs="Times New Roman" w:eastAsia="Times New Roman" w:hAnsi="Times New Roman"/>
            <w:sz w:val="18"/>
            <w:szCs w:val="18"/>
            <w:u w:val="single" w:color="auto"/>
            <w:color w:val="0000FF"/>
          </w:rPr>
          <w:t>Energy Transfer LP 2011 Long-Term Incentive Plan (formerly Regency Energy Partners LP 2011 Long-Term Incentive Plan) (incorporated</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by reference to Exhibit 4.2 to Form S-8 (File No 333-229456) filed January 31, 2019)</w:t>
        </w:r>
      </w:hyperlink>
    </w:p>
    <w:p>
      <w:pPr>
        <w:ind w:left="20"/>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308">
        <w:r>
          <w:rPr>
            <w:rFonts w:ascii="Times New Roman" w:cs="Times New Roman" w:eastAsia="Times New Roman" w:hAnsi="Times New Roman"/>
            <w:sz w:val="18"/>
            <w:szCs w:val="18"/>
            <w:u w:val="single" w:color="auto"/>
            <w:color w:val="0000FF"/>
          </w:rPr>
          <w:t>Energy Transfer LP 2015 Long-Term Incentive Plan, as amended and restated (formerly Sunoco Partners LLC Long-Term Incentive Plan,</w:t>
        </w:r>
      </w:hyperlink>
    </w:p>
    <w:p>
      <w:pPr>
        <w:spacing w:after="0" w:line="1" w:lineRule="exact"/>
        <w:rPr>
          <w:sz w:val="20"/>
          <w:szCs w:val="20"/>
          <w:color w:val="auto"/>
        </w:rPr>
      </w:pPr>
    </w:p>
    <w:p>
      <w:pPr>
        <w:jc w:val="center"/>
        <w:ind w:right="-59"/>
        <w:spacing w:after="0"/>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18"/>
            <w:szCs w:val="18"/>
            <w:u w:val="single" w:color="auto"/>
            <w:color w:val="0000FF"/>
          </w:rPr>
          <w:t>as amended and restated) (incorporated by reference to Exhibit 4.3 to Form S-8 (File No. 333-229456) filed January 31, 2019)</w:t>
        </w:r>
      </w:hyperlink>
    </w:p>
    <w:p>
      <w:pPr>
        <w:spacing w:after="0" w:line="5" w:lineRule="exact"/>
        <w:rPr>
          <w:sz w:val="20"/>
          <w:szCs w:val="20"/>
          <w:color w:val="auto"/>
        </w:rPr>
      </w:pPr>
    </w:p>
    <w:p>
      <w:pPr>
        <w:ind w:left="20"/>
        <w:spacing w:after="0"/>
        <w:tabs>
          <w:tab w:leader="none" w:pos="1020" w:val="left"/>
        </w:tabs>
        <w:rPr>
          <w:rFonts w:ascii="Times New Roman" w:cs="Times New Roman" w:eastAsia="Times New Roman" w:hAnsi="Times New Roman"/>
          <w:sz w:val="18"/>
          <w:szCs w:val="18"/>
          <w:u w:val="single" w:color="auto"/>
          <w:color w:val="0000FF"/>
        </w:rPr>
      </w:pPr>
      <w:hyperlink r:id="rId309">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309">
        <w:r>
          <w:rPr>
            <w:rFonts w:ascii="Times New Roman" w:cs="Times New Roman" w:eastAsia="Times New Roman" w:hAnsi="Times New Roman"/>
            <w:sz w:val="18"/>
            <w:szCs w:val="18"/>
            <w:u w:val="single" w:color="auto"/>
            <w:color w:val="0000FF"/>
          </w:rPr>
          <w:t>Form of Director and Officer Indemnification Agreement (incorporated by reference to Exhibit 10.26 to Form S-1 (File No. 333-128097)</w:t>
        </w:r>
      </w:hyperlink>
    </w:p>
    <w:p>
      <w:pPr>
        <w:ind w:left="1040"/>
        <w:spacing w:after="0"/>
        <w:rPr>
          <w:rFonts w:ascii="Times New Roman" w:cs="Times New Roman" w:eastAsia="Times New Roman" w:hAnsi="Times New Roman"/>
          <w:sz w:val="18"/>
          <w:szCs w:val="18"/>
          <w:u w:val="single" w:color="auto"/>
          <w:color w:val="0000FF"/>
        </w:rPr>
      </w:pPr>
      <w:hyperlink r:id="rId309">
        <w:r>
          <w:rPr>
            <w:rFonts w:ascii="Times New Roman" w:cs="Times New Roman" w:eastAsia="Times New Roman" w:hAnsi="Times New Roman"/>
            <w:sz w:val="18"/>
            <w:szCs w:val="18"/>
            <w:u w:val="single" w:color="auto"/>
            <w:color w:val="0000FF"/>
          </w:rPr>
          <w:t>filed December 20, 2005)</w:t>
        </w:r>
      </w:hyperlink>
    </w:p>
    <w:p>
      <w:pPr>
        <w:spacing w:after="0" w:line="16" w:lineRule="exact"/>
        <w:rPr>
          <w:sz w:val="20"/>
          <w:szCs w:val="20"/>
          <w:color w:val="auto"/>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0">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310">
        <w:r>
          <w:rPr>
            <w:rFonts w:ascii="Times New Roman" w:cs="Times New Roman" w:eastAsia="Times New Roman" w:hAnsi="Times New Roman"/>
            <w:sz w:val="18"/>
            <w:szCs w:val="18"/>
            <w:u w:val="single" w:color="auto"/>
            <w:color w:val="0000FF"/>
          </w:rPr>
          <w:t>LE GP, LLC Amended and Restated Outside Director Compensation Policy (incorporated by reference to Exhibit 10.9 to Form 10-K (File</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No. 1-32740) filed February 22, 2019)</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1">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311">
        <w:r>
          <w:rPr>
            <w:rFonts w:ascii="Times New Roman" w:cs="Times New Roman" w:eastAsia="Times New Roman" w:hAnsi="Times New Roman"/>
            <w:sz w:val="18"/>
            <w:szCs w:val="18"/>
            <w:u w:val="single" w:color="auto"/>
            <w:color w:val="0000FF"/>
          </w:rPr>
          <w:t>Energy Transfer Deferred Compensation Plan (formerly called Energy Transfer Partners Deferred Compensation Plan) (incorporated by</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reference to Exhibit 10.1 to Form 10-Q (File No. 1-11727) filed May 7, 2010)</w:t>
        </w:r>
      </w:hyperlink>
    </w:p>
    <w:p>
      <w:pPr>
        <w:spacing w:after="0" w:line="10" w:lineRule="exact"/>
        <w:rPr>
          <w:rFonts w:ascii="Times New Roman" w:cs="Times New Roman" w:eastAsia="Times New Roman" w:hAnsi="Times New Roman"/>
          <w:sz w:val="18"/>
          <w:szCs w:val="18"/>
          <w:u w:val="single" w:color="auto"/>
          <w:color w:val="0000FF"/>
        </w:rPr>
      </w:pPr>
    </w:p>
    <w:p>
      <w:pPr>
        <w:ind w:left="1040" w:right="140" w:hanging="1011"/>
        <w:spacing w:after="0" w:line="266" w:lineRule="auto"/>
        <w:tabs>
          <w:tab w:leader="none" w:pos="1020" w:val="left"/>
        </w:tabs>
        <w:rPr>
          <w:rFonts w:ascii="Times New Roman" w:cs="Times New Roman" w:eastAsia="Times New Roman" w:hAnsi="Times New Roman"/>
          <w:sz w:val="18"/>
          <w:szCs w:val="18"/>
          <w:u w:val="single" w:color="auto"/>
          <w:color w:val="0000FF"/>
        </w:rPr>
      </w:pPr>
      <w:hyperlink r:id="rId312">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312">
        <w:r>
          <w:rPr>
            <w:rFonts w:ascii="Times New Roman" w:cs="Times New Roman" w:eastAsia="Times New Roman" w:hAnsi="Times New Roman"/>
            <w:sz w:val="18"/>
            <w:szCs w:val="18"/>
            <w:u w:val="single" w:color="auto"/>
            <w:color w:val="0000FF"/>
          </w:rPr>
          <w:t>Amendment No. 1 to the Energy Transfer Deferred Compensation Plan (formerly called Energy Transfer Partners Deferred Compensation</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Plan) (incorporated by reference to Exhibit 10.12 to Form 10-K (File No. 1-32740) filed February 18, 2022)</w:t>
        </w:r>
      </w:hyperlink>
    </w:p>
    <w:p>
      <w:pPr>
        <w:ind w:left="20"/>
        <w:spacing w:after="0"/>
        <w:tabs>
          <w:tab w:leader="none" w:pos="1020" w:val="left"/>
        </w:tabs>
        <w:rPr>
          <w:rFonts w:ascii="Times New Roman" w:cs="Times New Roman" w:eastAsia="Times New Roman" w:hAnsi="Times New Roman"/>
          <w:sz w:val="17"/>
          <w:szCs w:val="17"/>
          <w:u w:val="single" w:color="auto"/>
          <w:color w:val="0000FF"/>
        </w:rPr>
      </w:pPr>
      <w:hyperlink r:id="rId313">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313">
        <w:r>
          <w:rPr>
            <w:rFonts w:ascii="Times New Roman" w:cs="Times New Roman" w:eastAsia="Times New Roman" w:hAnsi="Times New Roman"/>
            <w:sz w:val="17"/>
            <w:szCs w:val="17"/>
            <w:u w:val="single" w:color="auto"/>
            <w:color w:val="0000FF"/>
          </w:rPr>
          <w:t>Amendment No. 2 to the Energy Transfer Deferred Compensation Plan (incorporated by reference to Exhibit 10.13 to Form 10-K (File No.</w:t>
        </w:r>
      </w:hyperlink>
    </w:p>
    <w:p>
      <w:pPr>
        <w:spacing w:after="0" w:line="16"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313">
        <w:r>
          <w:rPr>
            <w:rFonts w:ascii="Times New Roman" w:cs="Times New Roman" w:eastAsia="Times New Roman" w:hAnsi="Times New Roman"/>
            <w:sz w:val="18"/>
            <w:szCs w:val="18"/>
            <w:u w:val="single" w:color="auto"/>
            <w:color w:val="0000FF"/>
          </w:rPr>
          <w:t>1-32740) filed February 18, 2022)</w:t>
        </w:r>
      </w:hyperlink>
    </w:p>
    <w:p>
      <w:pPr>
        <w:spacing w:after="0" w:line="30" w:lineRule="exact"/>
        <w:rPr>
          <w:sz w:val="20"/>
          <w:szCs w:val="20"/>
          <w:color w:val="auto"/>
        </w:rPr>
      </w:pPr>
    </w:p>
    <w:p>
      <w:pPr>
        <w:jc w:val="both"/>
        <w:ind w:left="104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4">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314">
        <w:r>
          <w:rPr>
            <w:rFonts w:ascii="Times New Roman" w:cs="Times New Roman" w:eastAsia="Times New Roman" w:hAnsi="Times New Roman"/>
            <w:sz w:val="18"/>
            <w:szCs w:val="18"/>
            <w:u w:val="single" w:color="auto"/>
            <w:color w:val="0000FF"/>
          </w:rPr>
          <w:t>Retention Agreement, by and among Energy Transfer Equity, L.P. and Thomas P. Mason, dated February 24, 2016 (incorporated by</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reference to Exhibit 10.21 to Form 10-K (File No. 1-32740) filed February 29, 2016)</w:t>
        </w:r>
      </w:hyperlink>
    </w:p>
    <w:p>
      <w:pPr>
        <w:ind w:left="20"/>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315">
        <w:r>
          <w:rPr>
            <w:rFonts w:ascii="Times New Roman" w:cs="Times New Roman" w:eastAsia="Times New Roman" w:hAnsi="Times New Roman"/>
            <w:sz w:val="18"/>
            <w:szCs w:val="18"/>
            <w:u w:val="single" w:color="auto"/>
            <w:color w:val="0000FF"/>
          </w:rPr>
          <w:t>Energy Transfer LP Annual Bonus Plan (incorporated by reference to Exhibit 10.23 to Form 10-K (File No. 1-32740) filed February 22,</w:t>
        </w:r>
      </w:hyperlink>
    </w:p>
    <w:p>
      <w:pPr>
        <w:spacing w:after="0" w:line="1"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2019)</w:t>
        </w:r>
      </w:hyperlink>
    </w:p>
    <w:p>
      <w:pPr>
        <w:spacing w:after="0" w:line="16" w:lineRule="exact"/>
        <w:rPr>
          <w:sz w:val="20"/>
          <w:szCs w:val="20"/>
          <w:color w:val="auto"/>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6">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316">
        <w:r>
          <w:rPr>
            <w:rFonts w:ascii="Times New Roman" w:cs="Times New Roman" w:eastAsia="Times New Roman" w:hAnsi="Times New Roman"/>
            <w:sz w:val="18"/>
            <w:szCs w:val="18"/>
            <w:u w:val="single" w:color="auto"/>
            <w:color w:val="0000FF"/>
          </w:rPr>
          <w:t>Registration Rights Agreement, dated November 27, 2006, by and among Energy Transfer Equity, L.P. and certain investors named therein</w:t>
        </w:r>
      </w:hyperlink>
      <w:r>
        <w:rPr>
          <w:rFonts w:ascii="Times New Roman" w:cs="Times New Roman" w:eastAsia="Times New Roman" w:hAnsi="Times New Roman"/>
          <w:sz w:val="18"/>
          <w:szCs w:val="18"/>
          <w:u w:val="single" w:color="auto"/>
          <w:color w:val="0000FF"/>
        </w:rPr>
        <w:t xml:space="preserve"> </w:t>
      </w:r>
      <w:hyperlink r:id="rId316">
        <w:r>
          <w:rPr>
            <w:rFonts w:ascii="Times New Roman" w:cs="Times New Roman" w:eastAsia="Times New Roman" w:hAnsi="Times New Roman"/>
            <w:sz w:val="18"/>
            <w:szCs w:val="18"/>
            <w:u w:val="single" w:color="auto"/>
            <w:color w:val="0000FF"/>
          </w:rPr>
          <w:t>(incorporated by reference to Exhibit 99.1 to Form 8-K (File No. 1-32740) filed November 30, 2006)</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7">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317">
        <w:r>
          <w:rPr>
            <w:rFonts w:ascii="Times New Roman" w:cs="Times New Roman" w:eastAsia="Times New Roman" w:hAnsi="Times New Roman"/>
            <w:sz w:val="18"/>
            <w:szCs w:val="18"/>
            <w:u w:val="single" w:color="auto"/>
            <w:color w:val="0000FF"/>
          </w:rPr>
          <w:t>Registration Rights Agreement, dated March 2, 2007, by and among Energy Transfer Equity, L.P. and certain investors named therein</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(incorporated by reference to Exhibit 99.1 to Form 8-K (File No. 1-32740) filed March 5, 2007)</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26" w:lineRule="auto"/>
        <w:tabs>
          <w:tab w:leader="none" w:pos="1020" w:val="left"/>
        </w:tabs>
        <w:rPr>
          <w:rFonts w:ascii="Times New Roman" w:cs="Times New Roman" w:eastAsia="Times New Roman" w:hAnsi="Times New Roman"/>
          <w:sz w:val="18"/>
          <w:szCs w:val="18"/>
          <w:u w:val="single" w:color="auto"/>
          <w:color w:val="0000FF"/>
        </w:rPr>
      </w:pPr>
      <w:hyperlink r:id="rId318">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318">
        <w:r>
          <w:rPr>
            <w:rFonts w:ascii="Times New Roman" w:cs="Times New Roman" w:eastAsia="Times New Roman" w:hAnsi="Times New Roman"/>
            <w:sz w:val="18"/>
            <w:szCs w:val="18"/>
            <w:u w:val="single" w:color="auto"/>
            <w:color w:val="0000FF"/>
          </w:rPr>
          <w:t>Unitholder Rights and Restrictions Agreement, dated as of May 7, 2007, by and among Energy Transfer Equity, L.P., Ray C. Davis, Natural</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Gas Partners VI, L.P. and Enterprise GP Holdings, L.P. (incorporated by reference to Exhibit 10.45 to Form 8-K (File No. 1-32740) filed</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May 7, 2007)</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040" w:right="20" w:hanging="1011"/>
        <w:spacing w:after="0" w:line="237" w:lineRule="auto"/>
        <w:tabs>
          <w:tab w:leader="none" w:pos="1020" w:val="left"/>
        </w:tabs>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319">
        <w:r>
          <w:rPr>
            <w:rFonts w:ascii="Times New Roman" w:cs="Times New Roman" w:eastAsia="Times New Roman" w:hAnsi="Times New Roman"/>
            <w:sz w:val="18"/>
            <w:szCs w:val="18"/>
            <w:u w:val="single" w:color="auto"/>
            <w:color w:val="0000FF"/>
          </w:rPr>
          <w:t>Equity Restructuring Agreement, dated as of January 15, 2018, by and among Energy Transfer Equity, L.P., USA Compression Partners,</w:t>
        </w:r>
      </w:hyperlink>
      <w:r>
        <w:rPr>
          <w:rFonts w:ascii="Times New Roman" w:cs="Times New Roman" w:eastAsia="Times New Roman" w:hAnsi="Times New Roman"/>
          <w:sz w:val="18"/>
          <w:szCs w:val="18"/>
          <w:u w:val="single" w:color="auto"/>
          <w:color w:val="0000FF"/>
        </w:rPr>
        <w:t xml:space="preserve"> </w:t>
      </w:r>
      <w:hyperlink r:id="rId319">
        <w:r>
          <w:rPr>
            <w:rFonts w:ascii="Times New Roman" w:cs="Times New Roman" w:eastAsia="Times New Roman" w:hAnsi="Times New Roman"/>
            <w:sz w:val="18"/>
            <w:szCs w:val="18"/>
            <w:u w:val="single" w:color="auto"/>
            <w:color w:val="0000FF"/>
          </w:rPr>
          <w:t>LP and USA Compression GP, LLC. (incorporated by reference to Exhibit 10.1 to Form 8-K (File No. 1-32740) filed January 16, 2018)</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40" w:right="20" w:hanging="1011"/>
        <w:spacing w:after="0" w:line="226" w:lineRule="auto"/>
        <w:tabs>
          <w:tab w:leader="none" w:pos="1020" w:val="left"/>
        </w:tabs>
        <w:rPr>
          <w:rFonts w:ascii="Times New Roman" w:cs="Times New Roman" w:eastAsia="Times New Roman" w:hAnsi="Times New Roman"/>
          <w:sz w:val="18"/>
          <w:szCs w:val="18"/>
          <w:u w:val="single" w:color="auto"/>
          <w:color w:val="0000FF"/>
        </w:rPr>
      </w:pPr>
      <w:hyperlink r:id="rId320">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320">
        <w:r>
          <w:rPr>
            <w:rFonts w:ascii="Times New Roman" w:cs="Times New Roman" w:eastAsia="Times New Roman" w:hAnsi="Times New Roman"/>
            <w:sz w:val="18"/>
            <w:szCs w:val="18"/>
            <w:u w:val="single" w:color="auto"/>
            <w:color w:val="0000FF"/>
          </w:rPr>
          <w:t>Registration Rights Agreement, dated as of April 2, 2018, by and among Energy Transfer Partners, L.P., Energy Transfer Equity, L.P., USA</w:t>
        </w:r>
      </w:hyperlink>
      <w:r>
        <w:rPr>
          <w:rFonts w:ascii="Times New Roman" w:cs="Times New Roman" w:eastAsia="Times New Roman" w:hAnsi="Times New Roman"/>
          <w:sz w:val="18"/>
          <w:szCs w:val="18"/>
          <w:u w:val="single" w:color="auto"/>
          <w:color w:val="0000FF"/>
        </w:rPr>
        <w:t xml:space="preserve"> </w:t>
      </w:r>
      <w:hyperlink r:id="rId320">
        <w:r>
          <w:rPr>
            <w:rFonts w:ascii="Times New Roman" w:cs="Times New Roman" w:eastAsia="Times New Roman" w:hAnsi="Times New Roman"/>
            <w:sz w:val="18"/>
            <w:szCs w:val="18"/>
            <w:u w:val="single" w:color="auto"/>
            <w:color w:val="0000FF"/>
          </w:rPr>
          <w:t>Compression Partners, LP and USA Compression Holdings, LLC. (incorporated by reference to Exhibit 10.1 to Form 8-K (File No. 1-</w:t>
        </w:r>
      </w:hyperlink>
      <w:hyperlink r:id="rId320">
        <w:r>
          <w:rPr>
            <w:rFonts w:ascii="Times New Roman" w:cs="Times New Roman" w:eastAsia="Times New Roman" w:hAnsi="Times New Roman"/>
            <w:sz w:val="18"/>
            <w:szCs w:val="18"/>
            <w:u w:val="single" w:color="auto"/>
            <w:color w:val="0000FF"/>
          </w:rPr>
          <w:t>32740) filed April 3, 2018)</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040" w:right="20" w:hanging="1011"/>
        <w:spacing w:after="0" w:line="236" w:lineRule="auto"/>
        <w:tabs>
          <w:tab w:leader="none" w:pos="1020" w:val="left"/>
        </w:tabs>
        <w:rPr>
          <w:rFonts w:ascii="Times New Roman" w:cs="Times New Roman" w:eastAsia="Times New Roman" w:hAnsi="Times New Roman"/>
          <w:sz w:val="18"/>
          <w:szCs w:val="18"/>
          <w:u w:val="single" w:color="auto"/>
          <w:color w:val="0000FF"/>
        </w:rPr>
      </w:pPr>
      <w:hyperlink r:id="rId321">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321">
        <w:r>
          <w:rPr>
            <w:rFonts w:ascii="Times New Roman" w:cs="Times New Roman" w:eastAsia="Times New Roman" w:hAnsi="Times New Roman"/>
            <w:sz w:val="18"/>
            <w:szCs w:val="18"/>
            <w:u w:val="single" w:color="auto"/>
            <w:color w:val="0000FF"/>
          </w:rPr>
          <w:t>Support Agreement, dated as of February 16, 2021, by and among Energy Transfer LP, Elk Merger Sub LLC, Elk GP Merger Sub LLC,</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Enable Midstream Partners, LP, Enable GP, LLC and CenterPoint Energy, Inc. (incorporated by reference to Exhibit 10.1 to Form 8-K (File</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No. 1-32740) filed February 17, 2021)</w:t>
        </w:r>
      </w:hyperlink>
    </w:p>
    <w:p>
      <w:pPr>
        <w:spacing w:after="0" w:line="24" w:lineRule="exact"/>
        <w:rPr>
          <w:rFonts w:ascii="Times New Roman" w:cs="Times New Roman" w:eastAsia="Times New Roman" w:hAnsi="Times New Roman"/>
          <w:sz w:val="18"/>
          <w:szCs w:val="18"/>
          <w:u w:val="single" w:color="auto"/>
          <w:color w:val="0000FF"/>
        </w:rPr>
      </w:pPr>
    </w:p>
    <w:p>
      <w:pPr>
        <w:jc w:val="both"/>
        <w:ind w:left="1040" w:right="20" w:hanging="1011"/>
        <w:spacing w:after="0" w:line="236" w:lineRule="auto"/>
        <w:tabs>
          <w:tab w:leader="none" w:pos="1020" w:val="left"/>
        </w:tabs>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322">
        <w:r>
          <w:rPr>
            <w:rFonts w:ascii="Times New Roman" w:cs="Times New Roman" w:eastAsia="Times New Roman" w:hAnsi="Times New Roman"/>
            <w:sz w:val="18"/>
            <w:szCs w:val="18"/>
            <w:u w:val="single" w:color="auto"/>
            <w:color w:val="0000FF"/>
          </w:rPr>
          <w:t>Support Agreement, dated as of February 16, 2021, by and among Energy Transfer LP, Elk Merger Sub LLC, Elk GP Merger Sub LLC,</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Enable Midstream Partners, LP, Enable GP, LLC and OGE Energy Corp. (incorporated by reference to Exhibit 10.2 to Form 8-K (File No.</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1-32740) filed February 17, 2021)</w:t>
        </w:r>
      </w:hyperlink>
    </w:p>
    <w:p>
      <w:pPr>
        <w:spacing w:after="0" w:line="24" w:lineRule="exact"/>
        <w:rPr>
          <w:rFonts w:ascii="Times New Roman" w:cs="Times New Roman" w:eastAsia="Times New Roman" w:hAnsi="Times New Roman"/>
          <w:sz w:val="18"/>
          <w:szCs w:val="18"/>
          <w:u w:val="single" w:color="auto"/>
          <w:color w:val="0000FF"/>
        </w:rPr>
      </w:pPr>
    </w:p>
    <w:p>
      <w:pPr>
        <w:jc w:val="both"/>
        <w:ind w:left="1040" w:hanging="1011"/>
        <w:spacing w:after="0" w:line="250" w:lineRule="auto"/>
        <w:tabs>
          <w:tab w:leader="none" w:pos="1020" w:val="left"/>
        </w:tabs>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323">
        <w:r>
          <w:rPr>
            <w:rFonts w:ascii="Times New Roman" w:cs="Times New Roman" w:eastAsia="Times New Roman" w:hAnsi="Times New Roman"/>
            <w:sz w:val="18"/>
            <w:szCs w:val="18"/>
            <w:u w:val="single" w:color="auto"/>
            <w:color w:val="0000FF"/>
          </w:rPr>
          <w:t>Registration Rights Agreement, dated as of December 2, 2021, by and among Energy Transfer LP, CenterPoint Energy, Inc. and OGE</w:t>
        </w:r>
      </w:hyperlink>
      <w:r>
        <w:rPr>
          <w:rFonts w:ascii="Times New Roman" w:cs="Times New Roman" w:eastAsia="Times New Roman" w:hAnsi="Times New Roman"/>
          <w:sz w:val="18"/>
          <w:szCs w:val="18"/>
          <w:u w:val="single" w:color="auto"/>
          <w:color w:val="0000FF"/>
        </w:rPr>
        <w:t xml:space="preserve"> </w:t>
      </w:r>
      <w:hyperlink r:id="rId323">
        <w:r>
          <w:rPr>
            <w:rFonts w:ascii="Times New Roman" w:cs="Times New Roman" w:eastAsia="Times New Roman" w:hAnsi="Times New Roman"/>
            <w:sz w:val="18"/>
            <w:szCs w:val="18"/>
            <w:u w:val="single" w:color="auto"/>
            <w:color w:val="0000FF"/>
          </w:rPr>
          <w:t>Energy Corp. (incorporated by reference to Exhibit 10.1 to Form 8-K (File No. 1-32740) filed December 3, 2021)</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040" w:hanging="1011"/>
        <w:spacing w:after="0" w:line="250" w:lineRule="auto"/>
        <w:tabs>
          <w:tab w:leader="none" w:pos="1020" w:val="left"/>
        </w:tabs>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324">
        <w:r>
          <w:rPr>
            <w:rFonts w:ascii="Times New Roman" w:cs="Times New Roman" w:eastAsia="Times New Roman" w:hAnsi="Times New Roman"/>
            <w:sz w:val="18"/>
            <w:szCs w:val="18"/>
            <w:u w:val="single" w:color="auto"/>
            <w:color w:val="0000FF"/>
          </w:rPr>
          <w:t>Note Purchase Agreement, dated as of May 24, 2007, by and among Transwestern Pipeline Company, LLC and the Purchasers parties</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thereto (incorporated by reference to Exhibit 10.56 to Form 10-Q (File No. 1-11727) filed July 10, 2007)</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040" w:right="20" w:hanging="1011"/>
        <w:spacing w:after="0" w:line="250" w:lineRule="auto"/>
        <w:tabs>
          <w:tab w:leader="none" w:pos="1020" w:val="left"/>
        </w:tabs>
        <w:rPr>
          <w:rFonts w:ascii="Times New Roman" w:cs="Times New Roman" w:eastAsia="Times New Roman" w:hAnsi="Times New Roman"/>
          <w:sz w:val="18"/>
          <w:szCs w:val="18"/>
          <w:u w:val="single" w:color="auto"/>
          <w:color w:val="0000FF"/>
        </w:rPr>
      </w:pPr>
      <w:hyperlink r:id="rId325">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325">
        <w:r>
          <w:rPr>
            <w:rFonts w:ascii="Times New Roman" w:cs="Times New Roman" w:eastAsia="Times New Roman" w:hAnsi="Times New Roman"/>
            <w:sz w:val="18"/>
            <w:szCs w:val="18"/>
            <w:u w:val="single" w:color="auto"/>
            <w:color w:val="0000FF"/>
          </w:rPr>
          <w:t>Note Purchase Agreement, dated December 9, 2009, by and among Transwestern Pipeline Company, LLC and the Purchasers parties</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thereto (incorporated by reference to Exhibit 10.1 to Form 8-K (File No. 1-11727) filed December 14, 2009)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32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900" w:type="dxa"/>
            <w:vAlign w:val="bottom"/>
            <w:gridSpan w:val="5"/>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32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2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Credit Agreement dated as of December 1, 2017 among Energy Transfer Partners, L.P., Wells Fargo Bank, National Association, as</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Administrative Agent, the other lenders party thereto and the other parties named therein (incorporated by reference to Exhibit 10.1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Form 8-K (File No. 1-31219) filed December 6, 2017)</w:t>
              </w:r>
            </w:hyperlink>
          </w:p>
        </w:tc>
        <w:tc>
          <w:tcPr>
            <w:tcW w:w="62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Amendment No. 1 to Five-Year Credit Agreement, Joinder and Increase and Extension Agreement, dated as of October 19, 2018, by and</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among Energy Transfer Partners, L.P., Sunoco Logistics Partners Operations L.P., and Wells Fargo Bank, National Association,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administrative agent (incorporated by reference to Exhibit 10.1 to Form 8-K (File No. 1-31219) filed October 19, 2018)</w:t>
              </w:r>
            </w:hyperlink>
          </w:p>
        </w:tc>
        <w:tc>
          <w:tcPr>
            <w:tcW w:w="150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2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Extension Agreement dated as of May 10, 2021 among Energy Transfer LP, the Consenting Lenders named therein, Wells Fargo Bank,</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National Association, as Administrative Agent (incorporated by reference to Exhibit 10.1 to Form 8-K (File No. 1-32740) filed May 11,</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5"/>
              </w:rPr>
            </w:pPr>
            <w:hyperlink r:id="rId329">
              <w:r>
                <w:rPr>
                  <w:rFonts w:ascii="Times New Roman" w:cs="Times New Roman" w:eastAsia="Times New Roman" w:hAnsi="Times New Roman"/>
                  <w:sz w:val="18"/>
                  <w:szCs w:val="18"/>
                  <w:color w:val="0000FF"/>
                  <w:w w:val="95"/>
                </w:rPr>
                <w:t>2021)</w:t>
              </w:r>
            </w:hyperlink>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Guarantee of Collection, dated as of April 30, 2013, by and between Regency Energy Partners LP, PEPL Holdings, LLC and Regency</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Energy Finance Corp. (incorporated by reference to Exhibit 10.3 to Form 8-K (File No. 1-11727) filed April 30. 2013)</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Cushion Gas Litigation Agreement, dated January 26, 2005, by and among AEP Energy Services Gas Holding Company II, L.L.C. and</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HPL Storage LP, as Sellers, and La Grange Acquisition, L.P., as Buyer, and AEP Asset Holdings LP, AEP Leaseco LP, Houston Pipe Line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Company, LP and HPL Resources Company LP, as Companies (incorporated by reference to Exhibit 10.2 to Form 8-K (File No. 1-11727)</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filed February 1, 2005)</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Guarantee of Collection, made as of March 26, 2012, by Citrus ETP Finance LLC, to Energy Transfer Partners, L.P. (incorporated by</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reference to Exhibit 10.1 to Form 8-K (File No. 1-11727) filed March 28, 2012)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32</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Support Agreement, dated March 26, 2012, by and among PEPL Holdings, LLC, Energy Transfer Partners, L.P., and Citrus ETP Finance</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36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LLC (incorporated by reference to Exhibit 10.2 to Form 8-K (File No. 1-11727) filed March 28, 2012)</w:t>
              </w:r>
            </w:hyperlink>
          </w:p>
        </w:tc>
        <w:tc>
          <w:tcPr>
            <w:tcW w:w="2780" w:type="dxa"/>
            <w:vAlign w:val="bottom"/>
            <w:tcBorders>
              <w:top w:val="single" w:sz="8" w:color="0000FF"/>
            </w:tcBorders>
            <w:gridSpan w:val="9"/>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33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33</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Commercial Paper Dealer Agreement between Energy Transfer Partners, L.P., as Issuer, and the Dealer party thereto (incorporated</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by reference to Exhibit 99.1 to Form 8-K (File No. 1-11727) filed August 22, 2016)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430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Issuers and Guarantors of Registered Securities (incorporated by reference to Exhibit 22.1 of Form 10-Q (File No. 1-32740) filed August 5,</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0"/>
              </w:rPr>
            </w:pPr>
            <w:hyperlink r:id="rId339">
              <w:r>
                <w:rPr>
                  <w:rFonts w:ascii="Times New Roman" w:cs="Times New Roman" w:eastAsia="Times New Roman" w:hAnsi="Times New Roman"/>
                  <w:sz w:val="18"/>
                  <w:szCs w:val="18"/>
                  <w:color w:val="0000FF"/>
                  <w:w w:val="90"/>
                </w:rPr>
                <w:t>2021)</w:t>
              </w:r>
            </w:hyperlink>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5"/>
              </w:rPr>
              <w:t>Act of 2002</w:t>
            </w:r>
          </w:p>
        </w:tc>
        <w:tc>
          <w:tcPr>
            <w:tcW w:w="9200" w:type="dxa"/>
            <w:vAlign w:val="bottom"/>
            <w:tcBorders>
              <w:top w:val="single" w:sz="8" w:color="0000FF"/>
            </w:tcBorders>
            <w:gridSpan w:val="13"/>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60" w:type="dxa"/>
            <w:vAlign w:val="bottom"/>
          </w:tcPr>
          <w:p>
            <w:pPr>
              <w:spacing w:after="0"/>
              <w:rPr>
                <w:sz w:val="19"/>
                <w:szCs w:val="19"/>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5"/>
              </w:rPr>
              <w:t>Act of 2002</w:t>
            </w:r>
          </w:p>
        </w:tc>
        <w:tc>
          <w:tcPr>
            <w:tcW w:w="9200" w:type="dxa"/>
            <w:vAlign w:val="bottom"/>
            <w:tcBorders>
              <w:top w:val="single" w:sz="8" w:color="0000FF"/>
            </w:tcBorders>
            <w:gridSpan w:val="13"/>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260" w:type="dxa"/>
            <w:vAlign w:val="bottom"/>
          </w:tcPr>
          <w:p>
            <w:pPr>
              <w:spacing w:after="0"/>
              <w:rPr>
                <w:sz w:val="19"/>
                <w:szCs w:val="19"/>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our Consolidated Balance Sheets; (ii) our Consolidated Statements of</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3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auto"/>
              </w:rPr>
              <w:t>Operations; (iii) our Consolidated Statements of Comprehensive Income (Loss); (iv) our Consolidated Statement of Equity; (v) our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(vi) the notes to our Consolidated Financial Statements</w:t>
            </w:r>
          </w:p>
        </w:tc>
        <w:tc>
          <w:tcPr>
            <w:tcW w:w="0" w:type="dxa"/>
            <w:vAlign w:val="bottom"/>
          </w:tcPr>
          <w:p>
            <w:pPr>
              <w:spacing w:after="0"/>
              <w:rPr>
                <w:sz w:val="1"/>
                <w:szCs w:val="1"/>
                <w:color w:val="auto"/>
              </w:rPr>
            </w:pPr>
          </w:p>
        </w:tc>
      </w:tr>
      <w:tr>
        <w:trPr>
          <w:trHeight w:val="23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hanging="980"/>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040" w:hanging="980"/>
        <w:spacing w:after="0"/>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040" w:hanging="980"/>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0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ENERGY TRANSFER LP</w:t>
            </w:r>
          </w:p>
        </w:tc>
      </w:tr>
      <w:tr>
        <w:trPr>
          <w:trHeight w:val="499"/>
        </w:trPr>
        <w:tc>
          <w:tcPr>
            <w:tcW w:w="308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 GP, LLC, its general partner</w:t>
            </w:r>
          </w:p>
        </w:tc>
      </w:tr>
      <w:tr>
        <w:trPr>
          <w:trHeight w:val="76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Troy Sturrock</w:t>
            </w:r>
          </w:p>
        </w:tc>
      </w:tr>
      <w:tr>
        <w:trPr>
          <w:trHeight w:val="228"/>
        </w:trPr>
        <w:tc>
          <w:tcPr>
            <w:tcW w:w="3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r>
    </w:tbl>
    <w:p>
      <w:pPr>
        <w:ind w:left="4760"/>
        <w:spacing w:after="0" w:line="215" w:lineRule="auto"/>
        <w:rPr>
          <w:sz w:val="20"/>
          <w:szCs w:val="20"/>
          <w:color w:val="auto"/>
        </w:rPr>
      </w:pPr>
      <w:r>
        <w:rPr>
          <w:rFonts w:ascii="Times New Roman" w:cs="Times New Roman" w:eastAsia="Times New Roman" w:hAnsi="Times New Roman"/>
          <w:sz w:val="18"/>
          <w:szCs w:val="18"/>
          <w:color w:val="auto"/>
        </w:rPr>
        <w:t>Group Senior Vice President, Controller and Principal Accounting</w:t>
      </w:r>
    </w:p>
    <w:p>
      <w:pPr>
        <w:ind w:left="4760"/>
        <w:spacing w:after="0"/>
        <w:rPr>
          <w:sz w:val="20"/>
          <w:szCs w:val="20"/>
          <w:color w:val="auto"/>
        </w:rPr>
      </w:pPr>
      <w:r>
        <w:rPr>
          <w:rFonts w:ascii="Times New Roman" w:cs="Times New Roman" w:eastAsia="Times New Roman" w:hAnsi="Times New Roman"/>
          <w:sz w:val="18"/>
          <w:szCs w:val="18"/>
          <w:color w:val="auto"/>
        </w:rPr>
        <w:t>Officer (duly authorized to sign on behalf of the registrant)</w:t>
      </w: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Signature</w:t>
            </w:r>
          </w:p>
        </w:tc>
        <w:tc>
          <w:tcPr>
            <w:tcW w:w="50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Date</w:t>
            </w:r>
          </w:p>
        </w:tc>
      </w:tr>
      <w:tr>
        <w:trPr>
          <w:trHeight w:val="49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Kelcy L. Warren</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Chairman</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Kelcy L. Warren</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Marshall S. McCrea, III</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Co-Chief Executive Officer and 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S. McCrea, III</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3260" w:type="dxa"/>
            <w:vAlign w:val="bottom"/>
          </w:tcPr>
          <w:p>
            <w:pPr>
              <w:spacing w:after="0"/>
              <w:rPr>
                <w:sz w:val="19"/>
                <w:szCs w:val="19"/>
                <w:color w:val="auto"/>
              </w:rPr>
            </w:pPr>
          </w:p>
        </w:tc>
      </w:tr>
      <w:tr>
        <w:trPr>
          <w:trHeight w:val="31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E. Long</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Co-Chief Executive Officer and 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 Long</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326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Dylan A. Bramhall</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Chief Financial Officer</w:t>
            </w:r>
          </w:p>
        </w:tc>
        <w:tc>
          <w:tcPr>
            <w:tcW w:w="32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Dylan A. Bramhall</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260" w:type="dxa"/>
            <w:vAlign w:val="bottom"/>
          </w:tcPr>
          <w:p>
            <w:pPr>
              <w:spacing w:after="0"/>
              <w:rPr>
                <w:sz w:val="19"/>
                <w:szCs w:val="19"/>
                <w:color w:val="auto"/>
              </w:rPr>
            </w:pPr>
          </w:p>
        </w:tc>
      </w:tr>
      <w:tr>
        <w:trPr>
          <w:trHeight w:val="36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Troy Sturrock</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Senior Vice President and Controller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26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R. Anderson</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 Anderson</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D. Brannon</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D. Brannon</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K. Grimm</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Grimm</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W. McReynolds</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McReynolds</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 Perry</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 Perry</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S. Ramsey</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S. Ramsey</w:t>
            </w:r>
          </w:p>
        </w:tc>
        <w:tc>
          <w:tcPr>
            <w:tcW w:w="5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927"/>
        </w:trPr>
        <w:tc>
          <w:tcPr>
            <w:tcW w:w="2900" w:type="dxa"/>
            <w:vAlign w:val="bottom"/>
          </w:tcPr>
          <w:p>
            <w:pPr>
              <w:spacing w:after="0"/>
              <w:rPr>
                <w:sz w:val="24"/>
                <w:szCs w:val="24"/>
                <w:color w:val="auto"/>
              </w:rPr>
            </w:pPr>
          </w:p>
        </w:tc>
        <w:tc>
          <w:tcPr>
            <w:tcW w:w="50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166</w:t>
            </w:r>
          </w:p>
        </w:tc>
        <w:tc>
          <w:tcPr>
            <w:tcW w:w="326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Page</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Number </w:t>
            </w:r>
            <w:r>
              <w:rPr>
                <w:rFonts w:ascii="Times New Roman" w:cs="Times New Roman" w:eastAsia="Times New Roman" w:hAnsi="Times New Roman"/>
                <w:sz w:val="18"/>
                <w:szCs w:val="18"/>
                <w:color w:val="000000"/>
              </w:rPr>
              <w:t>248</w:t>
            </w:r>
            <w:r>
              <w:rPr>
                <w:rFonts w:ascii="Times New Roman" w:cs="Times New Roman" w:eastAsia="Times New Roman" w:hAnsi="Times New Roman"/>
                <w:sz w:val="18"/>
                <w:szCs w:val="18"/>
                <w:u w:val="single" w:color="auto"/>
                <w:color w:val="0000FF"/>
              </w:rPr>
              <w:t>)</w:t>
            </w:r>
          </w:p>
        </w:tc>
        <w:tc>
          <w:tcPr>
            <w:tcW w:w="2220" w:type="dxa"/>
            <w:vAlign w:val="bottom"/>
          </w:tcPr>
          <w:p>
            <w:pPr>
              <w:spacing w:after="0"/>
              <w:rPr>
                <w:sz w:val="19"/>
                <w:szCs w:val="19"/>
                <w:color w:val="auto"/>
              </w:rPr>
            </w:pPr>
          </w:p>
        </w:tc>
        <w:tc>
          <w:tcPr>
            <w:tcW w:w="6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0000FF"/>
                <w:w w:val="93"/>
              </w:rPr>
              <w:t>F - 2</w:t>
            </w:r>
          </w:p>
        </w:tc>
      </w:tr>
      <w:tr>
        <w:trPr>
          <w:trHeight w:val="480"/>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11"/>
          </w:tcPr>
          <w:p>
            <w:pPr>
              <w:spacing w:after="0"/>
              <w:rPr>
                <w:sz w:val="24"/>
                <w:szCs w:val="24"/>
                <w:color w:val="auto"/>
              </w:rPr>
            </w:pPr>
          </w:p>
        </w:tc>
        <w:tc>
          <w:tcPr>
            <w:tcW w:w="40" w:type="dxa"/>
            <w:vAlign w:val="bottom"/>
            <w:gridSpan w:val="2"/>
          </w:tcPr>
          <w:p>
            <w:pPr>
              <w:spacing w:after="0"/>
              <w:rPr>
                <w:sz w:val="24"/>
                <w:szCs w:val="24"/>
                <w:color w:val="auto"/>
              </w:rPr>
            </w:pPr>
          </w:p>
        </w:tc>
        <w:tc>
          <w:tcPr>
            <w:tcW w:w="1580" w:type="dxa"/>
            <w:vAlign w:val="bottom"/>
            <w:tcBorders>
              <w:top w:val="single" w:sz="8" w:color="0000FF"/>
            </w:tcBorders>
            <w:gridSpan w:val="2"/>
          </w:tcPr>
          <w:p>
            <w:pPr>
              <w:spacing w:after="0"/>
              <w:rPr>
                <w:sz w:val="24"/>
                <w:szCs w:val="24"/>
                <w:color w:val="auto"/>
              </w:rPr>
            </w:pPr>
          </w:p>
        </w:tc>
        <w:tc>
          <w:tcPr>
            <w:tcW w:w="256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3"/>
              </w:rPr>
              <w:t>F - 4</w:t>
            </w:r>
          </w:p>
        </w:tc>
        <w:tc>
          <w:tcPr>
            <w:tcW w:w="320" w:type="dxa"/>
            <w:vAlign w:val="bottom"/>
            <w:gridSpan w:val="2"/>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580" w:type="dxa"/>
            <w:vAlign w:val="bottom"/>
            <w:gridSpan w:val="13"/>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3"/>
              </w:rPr>
              <w:t>F - 6</w:t>
            </w:r>
          </w:p>
        </w:tc>
        <w:tc>
          <w:tcPr>
            <w:tcW w:w="320" w:type="dxa"/>
            <w:vAlign w:val="bottom"/>
            <w:gridSpan w:val="2"/>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8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220" w:type="dxa"/>
            <w:vAlign w:val="bottom"/>
          </w:tcPr>
          <w:p>
            <w:pPr>
              <w:spacing w:after="0"/>
              <w:rPr>
                <w:sz w:val="24"/>
                <w:szCs w:val="24"/>
                <w:color w:val="auto"/>
              </w:rPr>
            </w:pPr>
          </w:p>
        </w:tc>
        <w:tc>
          <w:tcPr>
            <w:tcW w:w="6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0000FF"/>
                <w:w w:val="93"/>
              </w:rPr>
              <w:t>F - 7</w:t>
            </w:r>
          </w:p>
        </w:tc>
      </w:tr>
      <w:tr>
        <w:trPr>
          <w:trHeight w:val="479"/>
        </w:trPr>
        <w:tc>
          <w:tcPr>
            <w:tcW w:w="20" w:type="dxa"/>
            <w:vAlign w:val="bottom"/>
          </w:tcPr>
          <w:p>
            <w:pPr>
              <w:spacing w:after="0"/>
              <w:rPr>
                <w:sz w:val="24"/>
                <w:szCs w:val="24"/>
                <w:color w:val="auto"/>
              </w:rPr>
            </w:pPr>
          </w:p>
        </w:tc>
        <w:tc>
          <w:tcPr>
            <w:tcW w:w="42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4160" w:type="dxa"/>
            <w:vAlign w:val="bottom"/>
            <w:gridSpan w:val="5"/>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3"/>
              </w:rPr>
              <w:t>F - 8</w:t>
            </w:r>
          </w:p>
        </w:tc>
        <w:tc>
          <w:tcPr>
            <w:tcW w:w="32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520" w:type="dxa"/>
            <w:vAlign w:val="bottom"/>
            <w:gridSpan w:val="12"/>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3"/>
              </w:rPr>
              <w:t>F - 9</w:t>
            </w:r>
          </w:p>
        </w:tc>
        <w:tc>
          <w:tcPr>
            <w:tcW w:w="320" w:type="dxa"/>
            <w:vAlign w:val="bottom"/>
            <w:gridSpan w:val="2"/>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240" w:type="dxa"/>
            <w:vAlign w:val="bottom"/>
            <w:gridSpan w:val="9"/>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83"/>
              </w:rPr>
              <w:t>F - 10</w:t>
            </w:r>
          </w:p>
        </w:tc>
        <w:tc>
          <w:tcPr>
            <w:tcW w:w="240" w:type="dxa"/>
            <w:vAlign w:val="bottom"/>
          </w:tcPr>
          <w:p>
            <w:pPr>
              <w:spacing w:after="0"/>
              <w:rPr>
                <w:sz w:val="24"/>
                <w:szCs w:val="24"/>
                <w:color w:val="auto"/>
              </w:rPr>
            </w:pPr>
          </w:p>
        </w:tc>
      </w:tr>
      <w:tr>
        <w:trPr>
          <w:trHeight w:val="209"/>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Operations and Basis of Presentation</w:t>
            </w:r>
          </w:p>
        </w:tc>
        <w:tc>
          <w:tcPr>
            <w:tcW w:w="5380" w:type="dxa"/>
            <w:vAlign w:val="bottom"/>
            <w:gridSpan w:val="11"/>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- 10</w:t>
            </w:r>
          </w:p>
        </w:tc>
        <w:tc>
          <w:tcPr>
            <w:tcW w:w="240" w:type="dxa"/>
            <w:vAlign w:val="bottom"/>
          </w:tcPr>
          <w:p>
            <w:pPr>
              <w:spacing w:after="0"/>
              <w:rPr>
                <w:sz w:val="18"/>
                <w:szCs w:val="18"/>
                <w:color w:val="auto"/>
              </w:rPr>
            </w:pPr>
          </w:p>
        </w:tc>
      </w:tr>
      <w:tr>
        <w:trPr>
          <w:trHeight w:val="210"/>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Estimates, Significant Accounting Policies and Balance Sheet Detail</w:t>
            </w:r>
          </w:p>
        </w:tc>
        <w:tc>
          <w:tcPr>
            <w:tcW w:w="2220" w:type="dxa"/>
            <w:vAlign w:val="bottom"/>
          </w:tcPr>
          <w:p>
            <w:pPr>
              <w:spacing w:after="0"/>
              <w:rPr>
                <w:sz w:val="18"/>
                <w:szCs w:val="18"/>
                <w:color w:val="auto"/>
              </w:rPr>
            </w:pPr>
          </w:p>
        </w:tc>
        <w:tc>
          <w:tcPr>
            <w:tcW w:w="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3051F2"/>
                <w:w w:val="83"/>
              </w:rPr>
              <w:t>F - 11</w:t>
            </w:r>
          </w:p>
        </w:tc>
      </w:tr>
      <w:tr>
        <w:trPr>
          <w:trHeight w:val="209"/>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Acquisitions, Divestitures and Related Transactions</w:t>
            </w:r>
          </w:p>
        </w:tc>
        <w:tc>
          <w:tcPr>
            <w:tcW w:w="1200" w:type="dxa"/>
            <w:vAlign w:val="bottom"/>
            <w:tcBorders>
              <w:top w:val="single" w:sz="8" w:color="0000FF"/>
            </w:tcBorders>
            <w:gridSpan w:val="4"/>
          </w:tcPr>
          <w:p>
            <w:pPr>
              <w:spacing w:after="0"/>
              <w:rPr>
                <w:sz w:val="18"/>
                <w:szCs w:val="18"/>
                <w:color w:val="auto"/>
              </w:rPr>
            </w:pPr>
          </w:p>
        </w:tc>
        <w:tc>
          <w:tcPr>
            <w:tcW w:w="3120" w:type="dxa"/>
            <w:vAlign w:val="bottom"/>
            <w:gridSpan w:val="3"/>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- 23</w:t>
            </w:r>
          </w:p>
        </w:tc>
        <w:tc>
          <w:tcPr>
            <w:tcW w:w="240" w:type="dxa"/>
            <w:vAlign w:val="bottom"/>
          </w:tcPr>
          <w:p>
            <w:pPr>
              <w:spacing w:after="0"/>
              <w:rPr>
                <w:sz w:val="18"/>
                <w:szCs w:val="18"/>
                <w:color w:val="auto"/>
              </w:rPr>
            </w:pPr>
          </w:p>
        </w:tc>
      </w:tr>
      <w:tr>
        <w:trPr>
          <w:trHeight w:val="209"/>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Investments in Unconsolidated Affiliates</w:t>
            </w:r>
          </w:p>
        </w:tc>
        <w:tc>
          <w:tcPr>
            <w:tcW w:w="5100" w:type="dxa"/>
            <w:vAlign w:val="bottom"/>
            <w:gridSpan w:val="8"/>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- 24</w:t>
            </w:r>
          </w:p>
        </w:tc>
        <w:tc>
          <w:tcPr>
            <w:tcW w:w="240" w:type="dxa"/>
            <w:vAlign w:val="bottom"/>
          </w:tcPr>
          <w:p>
            <w:pPr>
              <w:spacing w:after="0"/>
              <w:rPr>
                <w:sz w:val="18"/>
                <w:szCs w:val="18"/>
                <w:color w:val="auto"/>
              </w:rPr>
            </w:pPr>
          </w:p>
        </w:tc>
      </w:tr>
      <w:tr>
        <w:trPr>
          <w:trHeight w:val="210"/>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Net Income Per Common Unit</w:t>
            </w:r>
          </w:p>
        </w:tc>
        <w:tc>
          <w:tcPr>
            <w:tcW w:w="5840" w:type="dxa"/>
            <w:vAlign w:val="bottom"/>
            <w:gridSpan w:val="15"/>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- 26</w:t>
            </w:r>
          </w:p>
        </w:tc>
        <w:tc>
          <w:tcPr>
            <w:tcW w:w="240" w:type="dxa"/>
            <w:vAlign w:val="bottom"/>
          </w:tcPr>
          <w:p>
            <w:pPr>
              <w:spacing w:after="0"/>
              <w:rPr>
                <w:sz w:val="18"/>
                <w:szCs w:val="18"/>
                <w:color w:val="auto"/>
              </w:rPr>
            </w:pPr>
          </w:p>
        </w:tc>
      </w:tr>
      <w:tr>
        <w:trPr>
          <w:trHeight w:val="209"/>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Debt Obligations</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- 27</w:t>
            </w: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3051F2"/>
            </w:tcBorders>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w:t>
            </w:r>
          </w:p>
        </w:tc>
        <w:tc>
          <w:tcPr>
            <w:tcW w:w="2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Redeemable Noncontrolling Interests</w:t>
            </w:r>
          </w:p>
        </w:tc>
        <w:tc>
          <w:tcPr>
            <w:tcW w:w="5360" w:type="dxa"/>
            <w:vAlign w:val="bottom"/>
            <w:gridSpan w:val="10"/>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- 32</w:t>
            </w:r>
          </w:p>
        </w:tc>
        <w:tc>
          <w:tcPr>
            <w:tcW w:w="240" w:type="dxa"/>
            <w:vAlign w:val="bottom"/>
          </w:tcPr>
          <w:p>
            <w:pPr>
              <w:spacing w:after="0"/>
              <w:rPr>
                <w:sz w:val="18"/>
                <w:szCs w:val="18"/>
                <w:color w:val="auto"/>
              </w:rPr>
            </w:pPr>
          </w:p>
        </w:tc>
      </w:tr>
      <w:tr>
        <w:trPr>
          <w:trHeight w:val="210"/>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Equity</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- 33</w:t>
            </w:r>
          </w:p>
        </w:tc>
      </w:tr>
      <w:tr>
        <w:trPr>
          <w:trHeight w:val="20"/>
        </w:trPr>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3051F2"/>
            </w:tcBorders>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Equity Incentive Plans</w:t>
            </w:r>
          </w:p>
        </w:tc>
        <w:tc>
          <w:tcPr>
            <w:tcW w:w="6420" w:type="dxa"/>
            <w:vAlign w:val="bottom"/>
            <w:gridSpan w:val="18"/>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- 39</w:t>
            </w:r>
          </w:p>
        </w:tc>
        <w:tc>
          <w:tcPr>
            <w:tcW w:w="240" w:type="dxa"/>
            <w:vAlign w:val="bottom"/>
          </w:tcPr>
          <w:p>
            <w:pPr>
              <w:spacing w:after="0"/>
              <w:rPr>
                <w:sz w:val="18"/>
                <w:szCs w:val="18"/>
                <w:color w:val="auto"/>
              </w:rPr>
            </w:pPr>
          </w:p>
        </w:tc>
      </w:tr>
      <w:tr>
        <w:trPr>
          <w:trHeight w:val="210"/>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Income Taxes</w:t>
            </w:r>
          </w:p>
        </w:tc>
        <w:tc>
          <w:tcPr>
            <w:tcW w:w="6960" w:type="dxa"/>
            <w:vAlign w:val="bottom"/>
            <w:gridSpan w:val="22"/>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- 40</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0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color w:val="0000FF"/>
              </w:rPr>
              <w:t>Regulatory Matters, Commitments, Contingencies and Environmental Liabilities</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- 43</w:t>
            </w:r>
          </w:p>
        </w:tc>
      </w:tr>
      <w:tr>
        <w:trPr>
          <w:trHeight w:val="210"/>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58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Revenue</w:t>
            </w:r>
          </w:p>
        </w:tc>
        <w:tc>
          <w:tcPr>
            <w:tcW w:w="2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- 52</w:t>
            </w:r>
          </w:p>
        </w:tc>
        <w:tc>
          <w:tcPr>
            <w:tcW w:w="240" w:type="dxa"/>
            <w:vAlign w:val="bottom"/>
          </w:tcPr>
          <w:p>
            <w:pPr>
              <w:spacing w:after="0"/>
              <w:rPr>
                <w:sz w:val="18"/>
                <w:szCs w:val="18"/>
                <w:color w:val="auto"/>
              </w:rPr>
            </w:pPr>
          </w:p>
        </w:tc>
      </w:tr>
      <w:tr>
        <w:trPr>
          <w:trHeight w:val="20"/>
        </w:trPr>
        <w:tc>
          <w:tcPr>
            <w:tcW w:w="46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2220" w:type="dxa"/>
            <w:vAlign w:val="bottom"/>
            <w:tcBorders>
              <w:right w:val="single" w:sz="8" w:color="3051F2"/>
            </w:tcBorders>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7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Lease Accounting</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- 59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3051F2"/>
            </w:tcBorders>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2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Derivative Assets and Liabilities</w:t>
            </w:r>
          </w:p>
        </w:tc>
        <w:tc>
          <w:tcPr>
            <w:tcW w:w="5600" w:type="dxa"/>
            <w:vAlign w:val="bottom"/>
            <w:gridSpan w:val="14"/>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8"/>
                <w:szCs w:val="18"/>
                <w:color w:val="3051F2"/>
                <w:w w:val="83"/>
              </w:rPr>
              <w:t>F - 62</w:t>
            </w:r>
          </w:p>
        </w:tc>
        <w:tc>
          <w:tcPr>
            <w:tcW w:w="240" w:type="dxa"/>
            <w:vAlign w:val="bottom"/>
          </w:tcPr>
          <w:p>
            <w:pPr>
              <w:spacing w:after="0"/>
              <w:rPr>
                <w:sz w:val="18"/>
                <w:szCs w:val="18"/>
                <w:color w:val="auto"/>
              </w:rPr>
            </w:pPr>
          </w:p>
        </w:tc>
      </w:tr>
      <w:tr>
        <w:trPr>
          <w:trHeight w:val="210"/>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7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Retirement Benefits</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- 66</w:t>
            </w:r>
          </w:p>
        </w:tc>
      </w:tr>
      <w:tr>
        <w:trPr>
          <w:trHeight w:val="20"/>
        </w:trPr>
        <w:tc>
          <w:tcPr>
            <w:tcW w:w="460" w:type="dxa"/>
            <w:vAlign w:val="bottom"/>
            <w:gridSpan w:val="3"/>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2220" w:type="dxa"/>
            <w:vAlign w:val="bottom"/>
            <w:tcBorders>
              <w:right w:val="single" w:sz="8" w:color="3051F2"/>
            </w:tcBorders>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16.</w:t>
            </w:r>
          </w:p>
        </w:tc>
        <w:tc>
          <w:tcPr>
            <w:tcW w:w="7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Reportable Segments</w:t>
            </w: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3051F2"/>
              </w:rPr>
              <w:t>F - 70</w:t>
            </w:r>
          </w:p>
        </w:tc>
      </w:tr>
      <w:tr>
        <w:trPr>
          <w:trHeight w:val="8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 - 1</w:t>
            </w:r>
          </w:p>
        </w:tc>
        <w:tc>
          <w:tcPr>
            <w:tcW w:w="2220" w:type="dxa"/>
            <w:vAlign w:val="bottom"/>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LE GP,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Energy Transfer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Energy Transfer LP (a Delaware limited partnership) and subsidiaries (the “Partnership”) as of December 31, 2022 and 2021, the related consolidated statements of operations, comprehensive income (loss), equity, and cash flows for each of the three years in the period ended December 31, 2022, and the related notes (collectively referred to as the “financial statements”). In our opinion, the financial statements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17, 2023 expressed an unqualified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the Partnership’s consolidated goodwill balance was $2.6 billion as of December 31, 2022. Management evaluates goodwill for impairment annually on October 1st of each year or whenever events or changes in circumstances indicate potential asset impairment has occurred. As of December 31, 2022, there was $368 million of goodwill associated with a reporting unit within the NGL and Refined Products Transportation and Services segment in which we identified the Partnership’s determination of the fair value of the reporting unit as a critical audit matter.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the fair value of the reporting unit is a critical audit matter are that there are significant judgments required by management when determining the fair value of the reporting unit. In particular, the fair value estimate was sensitive to significant assumptions used to estimate future revenues and cash flows, including revenue growth rates, operating expenses, discount rate, and the inherent uncertainty around future market conditions as well as valuation methodologies applied by the Partnership.</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determination that the estimation of the fair value of the reporting unit included the following, among others. We tested the effectiveness of controls relating to management’s review of the assumptions used to develop the future cash flows, the discount rate used, and valuation methodologies applied. In addition to testing the effectiveness of controls, we also performed the following: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640" w:hanging="308"/>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management’s forecasted financial results by:</w:t>
      </w:r>
    </w:p>
    <w:p>
      <w:pPr>
        <w:spacing w:after="0" w:line="27" w:lineRule="exact"/>
        <w:rPr>
          <w:rFonts w:ascii="Times New Roman" w:cs="Times New Roman" w:eastAsia="Times New Roman" w:hAnsi="Times New Roman"/>
          <w:sz w:val="18"/>
          <w:szCs w:val="18"/>
          <w:color w:val="auto"/>
        </w:rPr>
      </w:pPr>
    </w:p>
    <w:p>
      <w:pPr>
        <w:ind w:left="1300" w:hanging="320"/>
        <w:spacing w:after="0" w:line="250" w:lineRule="auto"/>
        <w:tabs>
          <w:tab w:leader="none" w:pos="128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forecast of future projected results by comparing such items to industry projections and conditions found in industry reports,</w:t>
      </w:r>
    </w:p>
    <w:p>
      <w:pPr>
        <w:ind w:left="1300" w:hanging="320"/>
        <w:spacing w:after="0" w:line="250" w:lineRule="auto"/>
        <w:tabs>
          <w:tab w:leader="none" w:pos="12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forecasted revenues and expected future cash flows by comparing forecasted amounts to actual historical results to identify material changes, corroborating the basis for increases in forecasted revenues and expected future cash flows, as applicable, and</w:t>
      </w:r>
    </w:p>
    <w:p>
      <w:pPr>
        <w:ind w:left="1300" w:right="20" w:hanging="320"/>
        <w:spacing w:after="0" w:line="250" w:lineRule="auto"/>
        <w:tabs>
          <w:tab w:leader="none" w:pos="12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significant operating expenses and cash expenditures by comparing to historical trends and evaluating significant deviations from recent actual amounts.</w:t>
      </w: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an internal valuation specialist to evaluate:</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8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methodologies used and whether they were acceptable for the underlying assets or operations and whether such methodologies were being applied correctly, and</w:t>
      </w:r>
    </w:p>
    <w:p>
      <w:pPr>
        <w:ind w:left="1300" w:hanging="320"/>
        <w:spacing w:after="0" w:line="260" w:lineRule="auto"/>
        <w:tabs>
          <w:tab w:leader="none" w:pos="12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discount rate by developing an independent range of acceptable discount rates and comparing those ranges to the amounts selected and applied by management.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2004.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1320"/>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w:t>
      </w:r>
    </w:p>
    <w:p>
      <w:pPr>
        <w:ind w:left="180"/>
        <w:spacing w:after="0" w:line="266" w:lineRule="auto"/>
        <w:rPr>
          <w:sz w:val="20"/>
          <w:szCs w:val="20"/>
          <w:color w:val="auto"/>
        </w:rPr>
      </w:pPr>
      <w:r>
        <w:rPr>
          <w:rFonts w:ascii="Times New Roman" w:cs="Times New Roman" w:eastAsia="Times New Roman" w:hAnsi="Times New Roman"/>
          <w:sz w:val="18"/>
          <w:szCs w:val="18"/>
          <w:color w:val="auto"/>
        </w:rPr>
        <w:t>Accounts receivable from related companies Inventories</w:t>
      </w:r>
    </w:p>
    <w:p>
      <w:pPr>
        <w:ind w:left="180"/>
        <w:spacing w:after="0"/>
        <w:rPr>
          <w:sz w:val="20"/>
          <w:szCs w:val="20"/>
          <w:color w:val="auto"/>
        </w:rPr>
      </w:pPr>
      <w:r>
        <w:rPr>
          <w:rFonts w:ascii="Times New Roman" w:cs="Times New Roman" w:eastAsia="Times New Roman" w:hAnsi="Times New Roman"/>
          <w:sz w:val="18"/>
          <w:szCs w:val="18"/>
          <w:color w:val="auto"/>
        </w:rPr>
        <w:t>Income taxes receivable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93" w:lineRule="exact"/>
        <w:rPr>
          <w:sz w:val="20"/>
          <w:szCs w:val="20"/>
          <w:color w:val="auto"/>
        </w:rPr>
      </w:pPr>
    </w:p>
    <w:p>
      <w:pPr>
        <w:ind w:left="20" w:right="460"/>
        <w:spacing w:after="0" w:line="273" w:lineRule="auto"/>
        <w:rPr>
          <w:sz w:val="20"/>
          <w:szCs w:val="20"/>
          <w:color w:val="auto"/>
        </w:rPr>
      </w:pPr>
      <w:r>
        <w:rPr>
          <w:rFonts w:ascii="Times New Roman" w:cs="Times New Roman" w:eastAsia="Times New Roman" w:hAnsi="Times New Roman"/>
          <w:sz w:val="18"/>
          <w:szCs w:val="18"/>
          <w:color w:val="auto"/>
        </w:rPr>
        <w:t>Property, plant and equipment Accumulated depreciation and depletion</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93" w:lineRule="exact"/>
        <w:rPr>
          <w:sz w:val="20"/>
          <w:szCs w:val="20"/>
          <w:color w:val="auto"/>
        </w:rPr>
      </w:pPr>
    </w:p>
    <w:p>
      <w:pPr>
        <w:ind w:left="20" w:right="520"/>
        <w:spacing w:after="0" w:line="268" w:lineRule="auto"/>
        <w:rPr>
          <w:sz w:val="20"/>
          <w:szCs w:val="20"/>
          <w:color w:val="auto"/>
        </w:rPr>
      </w:pPr>
      <w:r>
        <w:rPr>
          <w:rFonts w:ascii="Times New Roman" w:cs="Times New Roman" w:eastAsia="Times New Roman" w:hAnsi="Times New Roman"/>
          <w:sz w:val="18"/>
          <w:szCs w:val="18"/>
          <w:color w:val="auto"/>
        </w:rPr>
        <w:t>Investments in unconsolidated affiliates Lease right-of-use assets, net</w:t>
      </w:r>
    </w:p>
    <w:p>
      <w:pPr>
        <w:spacing w:after="0" w:line="2" w:lineRule="exact"/>
        <w:rPr>
          <w:sz w:val="20"/>
          <w:szCs w:val="20"/>
          <w:color w:val="auto"/>
        </w:rPr>
      </w:pPr>
    </w:p>
    <w:p>
      <w:pPr>
        <w:ind w:left="20" w:right="1300"/>
        <w:spacing w:after="0" w:line="279" w:lineRule="auto"/>
        <w:rPr>
          <w:sz w:val="20"/>
          <w:szCs w:val="20"/>
          <w:color w:val="auto"/>
        </w:rPr>
      </w:pPr>
      <w:r>
        <w:rPr>
          <w:rFonts w:ascii="Times New Roman" w:cs="Times New Roman" w:eastAsia="Times New Roman" w:hAnsi="Times New Roman"/>
          <w:sz w:val="18"/>
          <w:szCs w:val="18"/>
          <w:color w:val="auto"/>
        </w:rPr>
        <w:t>Other non-current assets, net Intangible assets, net Goodwill</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b w:val="1"/>
          <w:bCs w:val="1"/>
          <w:u w:val="single" w:color="auto"/>
          <w:color w:val="auto"/>
        </w:rPr>
        <w:t>ENERGY TRANSFER LP AND SUBSIDIARIES</w:t>
      </w:r>
    </w:p>
    <w:p>
      <w:pPr>
        <w:spacing w:after="0" w:line="43"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4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0" w:type="dxa"/>
            <w:vAlign w:val="bottom"/>
          </w:tcPr>
          <w:p>
            <w:pPr>
              <w:spacing w:after="0"/>
              <w:rPr>
                <w:sz w:val="1"/>
                <w:szCs w:val="1"/>
                <w:color w:val="auto"/>
              </w:rPr>
            </w:pPr>
          </w:p>
        </w:tc>
      </w:tr>
      <w:tr>
        <w:trPr>
          <w:trHeight w:val="490"/>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81,607</w:t>
            </w:r>
          </w:p>
        </w:tc>
        <w:tc>
          <w:tcPr>
            <w:tcW w:w="0" w:type="dxa"/>
            <w:vAlign w:val="bottom"/>
          </w:tcPr>
          <w:p>
            <w:pPr>
              <w:spacing w:after="0"/>
              <w:rPr>
                <w:sz w:val="1"/>
                <w:szCs w:val="1"/>
                <w:color w:val="auto"/>
              </w:rPr>
            </w:pPr>
          </w:p>
        </w:tc>
      </w:tr>
      <w:tr>
        <w:trPr>
          <w:trHeight w:val="490"/>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-2879725</wp:posOffset>
            </wp:positionV>
            <wp:extent cx="711517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-2588260</wp:posOffset>
            </wp:positionV>
            <wp:extent cx="711517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-2296795</wp:posOffset>
            </wp:positionV>
            <wp:extent cx="711517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4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-2005330</wp:posOffset>
            </wp:positionV>
            <wp:extent cx="711517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5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-1704975</wp:posOffset>
            </wp:positionV>
            <wp:extent cx="711517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5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-1388110</wp:posOffset>
            </wp:positionV>
            <wp:extent cx="7115175"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5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-1087755</wp:posOffset>
            </wp:positionV>
            <wp:extent cx="711517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-770890</wp:posOffset>
            </wp:positionV>
            <wp:extent cx="7115175"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-479425</wp:posOffset>
            </wp:positionV>
            <wp:extent cx="711517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-187960</wp:posOffset>
            </wp:positionV>
            <wp:extent cx="711517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20"/>
            <w:col w:w="7500"/>
          </w:cols>
          <w:pgMar w:left="320" w:top="114" w:right="35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5"/>
        </w:trPr>
        <w:tc>
          <w:tcPr>
            <w:tcW w:w="8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0" w:type="dxa"/>
            <w:vAlign w:val="bottom"/>
          </w:tcPr>
          <w:p>
            <w:pPr>
              <w:spacing w:after="0"/>
              <w:rPr>
                <w:sz w:val="1"/>
                <w:szCs w:val="1"/>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derivative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Unitholders (72,184,780 and 72,184,780 units authorized, issued and outstanding as of December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 2022 and 2021, respectively)</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Unitholders (3,094,445,367 and 3,082,517,494 units authorized, issued and outstanding as of</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unit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Refined product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Gathering, transportation and other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PARTNERS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Partner’s interest in net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Unitholders’ interest in net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 interest in 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ENERGY TRANSFER LP AND SUBSIDIARIES CONSOLIDATED STATEMENTS OF COMPREHENSIVE INCOME (LOSS) </w:t>
      </w:r>
      <w:r>
        <w:rPr>
          <w:rFonts w:ascii="Times New Roman" w:cs="Times New Roman" w:eastAsia="Times New Roman" w:hAnsi="Times New Roman"/>
          <w:sz w:val="18"/>
          <w:szCs w:val="18"/>
          <w:color w:val="auto"/>
        </w:rPr>
        <w:t>(Dollars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value of available-for-sale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 relating to pension and other postretirement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other comprehensive income from unconsolidated affiliates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9"/>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partners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Common</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Preferred</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8"/>
              </w:rPr>
              <w:t>General</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controlling</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Unitholders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Unitholders</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Partner</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Interests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33,938</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 units issued</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2"/>
        </w:trPr>
        <w:tc>
          <w:tcPr>
            <w:tcW w:w="37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income (loss), excluding amounts attributable to</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units converted in Rollup Mergers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units repurchased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 issued</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Enable Acquisition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income, excluding amounts attributable to</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Energy Transfer Canada sale</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income, excluding amounts attributable to</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40,659</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2020</w:t>
            </w:r>
          </w:p>
        </w:tc>
      </w:tr>
      <w:tr>
        <w:trPr>
          <w:trHeight w:val="199"/>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r>
      <w:tr>
        <w:trPr>
          <w:trHeight w:val="213"/>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valuation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3"/>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investment in unconsolidated affiliates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Losses on extinguishments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on unvested awards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change in operating assets and liabilities, net of effects of acquisitions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6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r>
      <w:tr>
        <w:trPr>
          <w:trHeight w:val="19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received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excluding allowance for equity funds used during construction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Contributions in aid of construction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to unconsolidated affiliates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from unconsolidated affiliates in excess of cumulative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Energy Transfer Canada interest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w:t>
            </w:r>
          </w:p>
        </w:tc>
      </w:tr>
      <w:tr>
        <w:trPr>
          <w:trHeight w:val="19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(24,133)</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units issued for cash</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 units issued for cash</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redeemable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units repurchased under buyback program</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and unit amounts, except per unit data, are in millions)</w:t>
      </w:r>
    </w:p>
    <w:p>
      <w:pPr>
        <w:spacing w:after="0" w:line="149"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OPERATIONS AND BASIS OF PRESENTATION</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presented herein contain the results of Energy Transfer LP and its subsidiaries (the “Partnership,” “we,” “us,” “our” or “Energy Transfer”).</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 2021, Energy Transfer, ETO and certain of ETO’s subsidiaries consummated several internal reorganization transactions (the “Rollup Mergers”). In connection with the Rollup Mergers, ETO merged with and into Energy Transfer, with Energy Transfer surviving. The impacts of the Rollup Mergers also included the following:</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ETO’s long-term debt was assumed by Energy Transfer, as more fully described in Note 6.</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ETO preferred unit was converted into the right to receive one newly created Energy Transfer preferred unit. A description of the Energy Transfer Preferred Units is included in Note 8.</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ETO’s issued and outstanding Class K, Class L, Class M and Class N units were converted into an aggregate 675,625,000 newly created Class B Units representing limited partner interests in Energy Transfer. All of the Class B Units are held by ETP Holdco, a wholly-owned subsidiary of Energy Transfer.</w:t>
      </w:r>
    </w:p>
    <w:p>
      <w:pPr>
        <w:spacing w:after="0" w:line="12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November 2022, Energy Transfer and Panhandle completed an internal reorganization which resulted in Energy Transfer assuming all of Panhandle’s notes and debentures, as more fully discussed in Note 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statements reflect the following reportable segments:</w:t>
      </w:r>
    </w:p>
    <w:p>
      <w:pPr>
        <w:spacing w:after="0" w:line="117"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and operates intrastate natural gas pipeline systems and storage facilities that are engaged in the business of purchasing, gathering, transporting, processing and marketing natural gas and NGLs in the states of Texas, Oklahoma and Louisiana.</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and operates interstate pipelines, either directly or through equity method investments, that transport natural gas to various markets in the United States.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Partnership is engaged in the gathering and processing, compression, treating and transportation of natural gas, focusing on providing midstream services in some of the most prolific natural gas producing regions in the United States, including the Permian, Anadarko, Arkoma and Hugoton basins, as well as the Eagle Ford, Haynesville, Barnett, Marcellus and Utica shales.</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and operates a logistics business, consisting of a geographically diverse portfolio of complementary pipeline, terminalling, and acquisition and marketing assets, which are used to facilitate the purchase and sale of crude oil, NGLs and refined products.</w:t>
      </w:r>
    </w:p>
    <w:p>
      <w:pPr>
        <w:spacing w:after="0" w:line="10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Partnership owns a controlling interest in Sunoco LP which is engaged in the wholesale distribution of motor fuels to convenience stores, independent dealers, commercial customers and distributors, as well as the retail sale of motor fuels and merchandise through Sunoco LP operated convenience stores and retail fuel sites. As of December 31, 2022, our interest in Sunoco LP consisted of 100% of the general partner and IDRs, as well as 28.5 million common units.</w:t>
      </w:r>
    </w:p>
    <w:p>
      <w:pPr>
        <w:spacing w:after="0" w:line="12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 controlling interest in USAC which provides compression services to producers, processors, gatherers and transporters of natural gas and crude oil. As of December 31, 2022, our interest in USAC consisted of 100% of the general partner and 46.1 million common units.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of Energy Transfer LP presented herein for the years ended December 31, 2022,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have been prepared in accordance with GAAP and pursuant to the rules and regulations of the SEC. We consolidate all majority-owned subsidiaries and limited partnerships, which we control as the general partner or owner of the general partner. All significant intercompany transactions and accounts are eliminated in consolidation.</w:t>
      </w:r>
    </w:p>
    <w:p>
      <w:pPr>
        <w:spacing w:after="0" w:line="12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Energy Transfer presented herein include the results of operations of our controlled subsidiaries, including Sunoco LP and USAC.</w:t>
      </w:r>
    </w:p>
    <w:p>
      <w:pPr>
        <w:spacing w:after="0" w:line="104" w:lineRule="exact"/>
        <w:rPr>
          <w:sz w:val="20"/>
          <w:szCs w:val="20"/>
          <w:color w:val="auto"/>
        </w:rPr>
      </w:pPr>
    </w:p>
    <w:p>
      <w:pPr>
        <w:ind w:left="340" w:right="3600" w:hanging="332"/>
        <w:spacing w:after="0" w:line="440" w:lineRule="auto"/>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ESTIMATES, SIGNIFICANT ACCOUNTING POLICIES AND BALANCE SHEET DETAIL</w:t>
      </w:r>
      <w:r>
        <w:rPr>
          <w:rFonts w:ascii="Times New Roman" w:cs="Times New Roman" w:eastAsia="Times New Roman" w:hAnsi="Times New Roman"/>
          <w:sz w:val="18"/>
          <w:szCs w:val="18"/>
          <w:b w:val="1"/>
          <w:bCs w:val="1"/>
          <w:color w:val="auto"/>
        </w:rPr>
        <w:t>: Use of Estimates</w:t>
      </w:r>
    </w:p>
    <w:p>
      <w:pPr>
        <w:spacing w:after="0" w:line="1"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natural gas industry conducts its business by processing actual transactions at the end of the month following the month of delivery. Consequently, the most current month’s financial results for the midstream, NGL and intrastate transportation and storage operations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2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Accounting – Regulatory Assets and Liabilities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in accordance with Accounting Standards Codification (“ASC”) Topic 980.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under ASC Topic 980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3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Panhandle’s natural gas transmission systems and storage operations are subject to the jurisdiction of the FERC in accordance with the NGA and NGPA, Panhandle does not currently apply ASC Topic 980 in its GAAP-basis consolidated financial statements, primarily due to the level of discounting from tariff rates and its inability to recover specific costs.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Supplemental Cash Flow Information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net change in operating assets and liabilities, net of effects of acquisitions, included in cash flows from operating activities is comprised as follows: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from related companies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operating assets and liabilities, net of effects of acquisitions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are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Units issued in connection with the Enable Acquisition</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interest in unconsolidated affiliate</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 net of interest capitalized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See Note 3 for additional information.</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operations deal with a variety of counterparties across the energy sector.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We have a diverse portfolio of customers; however, because of the midstream and transportation services we provide, many of our customers are engaged in the exploration and production sector.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 additional credit support in the form of a letter of credit, prepayment, or other forms of security. We establish an allowance for credit losses on trade receivables based on the expected ultimate recovery of these receivables and consider many factors including historical customer collection experience, general and specific economic trends, and known specific issues related to individual customers, sectors, and transactions that might impact collectability. Changes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Sunoco LP’s fuel inventories are stated at the lower of cost or market using the last-in-first-out (“LIFO”) method. As of December 31, 2022 and 2021, Sunoco LP’s fuel inventory balance included lower of cost or market reserves of $116 million and $121 million, respectively. For the years ended December 31, 2022, 2021 and 2020, the Partnership’s consolidated statements of operations and comprehensive income did not include any material amounts of income from the liquidation of Sunoco LP’s LIFO fuel inventory. For the years ended December 31, 2022 and 2021, the Partnership’s cost of products sold included favorable inventory adjustments of $5 million and $190 million, respectively, and for year ended December 31, 2020, an unfavorable inventory adjustment of $82 million, related to Sunoco LP’s LIFO inventory.</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Partnership’s inventories consisted of the following:</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73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NGLs and refined products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 and other</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0"/>
        </w:trPr>
        <w:tc>
          <w:tcPr>
            <w:tcW w:w="7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right="400"/>
        <w:spacing w:after="0" w:line="312" w:lineRule="auto"/>
        <w:rPr>
          <w:sz w:val="20"/>
          <w:szCs w:val="20"/>
          <w:color w:val="auto"/>
        </w:rPr>
      </w:pPr>
      <w:r>
        <w:rPr>
          <w:rFonts w:ascii="Times New Roman" w:cs="Times New Roman" w:eastAsia="Times New Roman" w:hAnsi="Times New Roman"/>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73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paid to vendors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8"/>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Depreciation is computed using the straight-line method over the estimated useful or FERC-mandated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is retired or sold, any gain or loss is included in our consolidated statements of operations.</w:t>
      </w:r>
    </w:p>
    <w:p>
      <w:pPr>
        <w:spacing w:after="0" w:line="1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2022 and 2021, USAC recognized fixed asset impairments of $1 million and $5 million, respectively, related to its compression equipment as a result of its evaluation of the future deployment of idle fleet.</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2020, the Partnership recognized a $58 million fixed asset impairment primarily due to decreases in projected future cash flow as a result of the overall market demand decline. In addition, USAC recorded an $8 million impairment of compression equipment as a result of its evaluations of the future deployment of its idle fleet.</w:t>
      </w:r>
    </w:p>
    <w:p>
      <w:pPr>
        <w:spacing w:after="0" w:line="12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Capitalized interest is included for pipeline construction projects, except for certain interstate projects for which an allowance for funds used during construction (“AFUDC”) is accrued. Interest is capitalized based on the current borrowing rate of our revolving credit facilities when the related costs are incurred. AFUDC is calculated under guidelines prescribed by the FERC and capitalized as part of the cost of utility plant for interstate projects. It represents the cost of servicing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 invested in construction work-in-process. AFUDC is segregated into two component parts – borrowed funds and equity funds.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and useful lives of property, plant and equipment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 (1 to 45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Pipelines and equipment (5 to 83 years)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storage and related facilities (2 to 83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way (20 to 83 years)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(1 to 48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work-in-process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depletion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 recognized the following amounts for the periods presented:</w:t>
            </w: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290"/>
              <w:spacing w:after="0"/>
              <w:rPr>
                <w:sz w:val="20"/>
                <w:szCs w:val="20"/>
                <w:color w:val="auto"/>
              </w:rPr>
            </w:pPr>
            <w:r>
              <w:rPr>
                <w:rFonts w:ascii="Times New Roman" w:cs="Times New Roman" w:eastAsia="Times New Roman" w:hAnsi="Times New Roman"/>
                <w:sz w:val="18"/>
                <w:szCs w:val="18"/>
                <w:color w:val="auto"/>
              </w:rPr>
              <w:t>Years Ended 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Investments in Unconsolidated Affiliates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 During the year ended December 31, 2020, the Partnership recorded an impairment of its investment in White Cliffs of $129 million due to a decrease in projected future revenues and cash flows as a result of the overall market demand decline.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net are stated at cost less accumulated amortization. Other non-current assets, net consisted of the following:</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pipeline linefill and tank bottoms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assets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8"/>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funds include an immaterial amount of restricted cash primarily held in our wholly-owned captive insurance companies.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and useful lives of intangible assets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December 31, 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Pr>
          <w:p>
            <w:pPr>
              <w:spacing w:after="0"/>
              <w:rPr>
                <w:sz w:val="20"/>
                <w:szCs w:val="20"/>
                <w:color w:val="auto"/>
              </w:rPr>
            </w:pPr>
          </w:p>
        </w:tc>
      </w:tr>
      <w:tr>
        <w:trPr>
          <w:trHeight w:val="169"/>
        </w:trPr>
        <w:tc>
          <w:tcPr>
            <w:tcW w:w="2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4"/>
                <w:szCs w:val="14"/>
                <w:color w:val="auto"/>
              </w:rPr>
            </w:pPr>
          </w:p>
        </w:tc>
      </w:tr>
      <w:tr>
        <w:trPr>
          <w:trHeight w:val="237"/>
        </w:trPr>
        <w:tc>
          <w:tcPr>
            <w:tcW w:w="2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0"/>
                <w:szCs w:val="20"/>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43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Customer relationships, contracts and agreements (3 to</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0" w:type="dxa"/>
            <w:vAlign w:val="bottom"/>
          </w:tcPr>
          <w:p>
            <w:pPr>
              <w:spacing w:after="0"/>
              <w:rPr>
                <w:sz w:val="21"/>
                <w:szCs w:val="21"/>
                <w:color w:val="auto"/>
              </w:rPr>
            </w:pP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Patents (10 years)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19"/>
                <w:szCs w:val="19"/>
                <w:color w:val="auto"/>
              </w:rPr>
            </w:pP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 (20 years)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9"/>
                <w:szCs w:val="19"/>
                <w:color w:val="auto"/>
              </w:rPr>
            </w:pP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(5 to 20 years)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9"/>
                <w:szCs w:val="19"/>
                <w:color w:val="auto"/>
              </w:rPr>
            </w:pPr>
          </w:p>
        </w:tc>
      </w:tr>
      <w:tr>
        <w:trPr>
          <w:trHeight w:val="223"/>
        </w:trPr>
        <w:tc>
          <w:tcPr>
            <w:tcW w:w="4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19"/>
                <w:szCs w:val="19"/>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non-amortizable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19"/>
                <w:szCs w:val="19"/>
                <w:color w:val="auto"/>
              </w:rPr>
            </w:pPr>
          </w:p>
        </w:tc>
      </w:tr>
      <w:tr>
        <w:trPr>
          <w:trHeight w:val="21"/>
        </w:trPr>
        <w:tc>
          <w:tcPr>
            <w:tcW w:w="2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Aggregate amortization expense of intangible assets was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right"/>
              <w:ind w:right="30"/>
              <w:spacing w:after="0"/>
              <w:rPr>
                <w:sz w:val="20"/>
                <w:szCs w:val="20"/>
                <w:color w:val="auto"/>
              </w:rPr>
            </w:pPr>
            <w:r>
              <w:rPr>
                <w:rFonts w:ascii="Times New Roman" w:cs="Times New Roman" w:eastAsia="Times New Roman" w:hAnsi="Times New Roman"/>
                <w:sz w:val="18"/>
                <w:szCs w:val="18"/>
                <w:color w:val="auto"/>
              </w:rPr>
              <w:t>Years Ended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r>
      <w:tr>
        <w:trPr>
          <w:trHeight w:val="223"/>
        </w:trPr>
        <w:tc>
          <w:tcPr>
            <w:tcW w:w="4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 depreciation, depletion and amortization expense</w:t>
            </w:r>
          </w:p>
        </w:tc>
        <w:tc>
          <w:tcPr>
            <w:tcW w:w="13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9"/>
                <w:szCs w:val="19"/>
                <w:color w:val="auto"/>
              </w:rPr>
            </w:pPr>
          </w:p>
        </w:tc>
      </w:tr>
      <w:tr>
        <w:trPr>
          <w:trHeight w:val="459"/>
        </w:trPr>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Estimated aggregate amortization of intangible assets for the next five years is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shd w:val="clear" w:color="auto" w:fill="CCEEFF"/>
          </w:tcPr>
          <w:p>
            <w:pPr>
              <w:spacing w:after="0"/>
              <w:rPr>
                <w:sz w:val="19"/>
                <w:szCs w:val="19"/>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9"/>
                <w:szCs w:val="19"/>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shd w:val="clear" w:color="auto" w:fill="CCEEFF"/>
          </w:tcPr>
          <w:p>
            <w:pPr>
              <w:spacing w:after="0"/>
              <w:rPr>
                <w:sz w:val="19"/>
                <w:szCs w:val="19"/>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Pr>
          <w:p>
            <w:pPr>
              <w:spacing w:after="0"/>
              <w:rPr>
                <w:sz w:val="19"/>
                <w:szCs w:val="19"/>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or more frequently if circumstances indicate that goodwill might be impaired. The annual impairment test was performed during the fourth quarter.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9"/>
              </w:rPr>
              <w:t>Intrastate</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4"/>
              </w:rPr>
              <w:t>Interstate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6"/>
              </w:rPr>
              <w:t>NGL and Refined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6"/>
              </w:rPr>
              <w:t>Crude Oil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auto"/>
                <w:w w:val="96"/>
              </w:rPr>
              <w:t>Products</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3"/>
              </w:rPr>
              <w:t>Transportation</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Transportation</w:t>
            </w:r>
          </w:p>
        </w:tc>
        <w:tc>
          <w:tcPr>
            <w:tcW w:w="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Midstream</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Transportation</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Transportation</w:t>
            </w:r>
          </w:p>
        </w:tc>
        <w:tc>
          <w:tcPr>
            <w:tcW w:w="9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Investment in</w:t>
            </w:r>
          </w:p>
        </w:tc>
        <w:tc>
          <w:tcPr>
            <w:tcW w:w="9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Investment in</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60" w:type="dxa"/>
            <w:vAlign w:val="bottom"/>
          </w:tcPr>
          <w:p>
            <w:pPr>
              <w:spacing w:after="0"/>
              <w:rPr>
                <w:sz w:val="11"/>
                <w:szCs w:val="11"/>
                <w:color w:val="auto"/>
              </w:rPr>
            </w:pPr>
          </w:p>
        </w:tc>
        <w:tc>
          <w:tcPr>
            <w:tcW w:w="6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and Storage</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and Storage</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Services</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and Services</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Sunoco LP</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USAC</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0" w:type="dxa"/>
            <w:vAlign w:val="bottom"/>
          </w:tcPr>
          <w:p>
            <w:pPr>
              <w:spacing w:after="0"/>
              <w:rPr>
                <w:sz w:val="1"/>
                <w:szCs w:val="1"/>
                <w:color w:val="auto"/>
              </w:rPr>
            </w:pPr>
          </w:p>
        </w:tc>
      </w:tr>
      <w:tr>
        <w:trPr>
          <w:trHeight w:val="170"/>
        </w:trPr>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0" w:type="dxa"/>
            <w:vAlign w:val="bottom"/>
          </w:tcPr>
          <w:p>
            <w:pPr>
              <w:spacing w:after="0"/>
              <w:rPr>
                <w:sz w:val="1"/>
                <w:szCs w:val="1"/>
                <w:color w:val="auto"/>
              </w:rPr>
            </w:pPr>
          </w:p>
        </w:tc>
      </w:tr>
      <w:tr>
        <w:trPr>
          <w:trHeight w:val="170"/>
        </w:trPr>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94"/>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During the first quarter of 2020, due to the impacts of the COVID-19 pandemic, the decline in commodity prices and the decreases in the Partnership’s market capitalization, we determined that interim impairment testing should be performed on certain reporting units. The Partnership performed the interim impairment tests consistent with our approach for annual impairment testing, including using similar models, inputs and assumptions. As a result of the interim impairment test, the Partnership recognized goodwill impairments of $483 million related to our Ark-La-Tex and South Texas operations within the midstream segment, $183 million related to our Lake Charles LNG regasification operations within the interstate transportation and storage segment due to contractually scheduled reductions in payments for the remainder of the contract term, and $40 million related to our all other operations primarily due to decreases in projected future revenues and cash flows as a result of the overall market demand decline. In addition, USAC recognized a goodwill impairment of $619 million during the three months ended March 31, 2020, which is included in the Partnership’s consolidated results of operations.</w:t>
      </w:r>
    </w:p>
    <w:p>
      <w:pPr>
        <w:spacing w:after="0" w:line="13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the Partnership performed interim impairment testing on certain reporting units within its midstream, interstate, crude, NGL and all other operations. As a result, the Partnership recognized goodwill impairments of $1.28 billion related to our crude operations, $132 million related to our Energy Transfer Canada operations within the all other segment and $43 million related to our interstate operations primarily due to decreases in projected future cash flow as a result of the overall market demand decline.</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2020, the Partnership performed annual impairment testing on certain reporting units within its midstream, interstate, crude, NGL and all other operations. As a result, the Partnership recognized goodwill impairments of $10 million related to our intrastate operations, $11 million related to our PEI operations and $15 million related to our Natural Resources operations within the all other segment primarily due to decreases in projected future cash flow as a result of the overall market demand decline. No other impairments of the Partnership’s goodwill were identified.</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Goodwill is recorded at the acquisition date based on a preliminary purchase price allocation and generally may be adjusted when the purchase price allocation is finalized. During the fourth quarter of 2021, $138 million of goodwill was recorded in conjunction with the acquisition of Enable. In addition, Sunoco LP recorded $4 million of goodwill in conjunction with its acquisition of eight refined product terminals in 2021 and $33 million of goodwill in conjunction with its acquisitions in 2022.</w:t>
      </w:r>
    </w:p>
    <w:p>
      <w:pPr>
        <w:spacing w:after="0" w:line="126"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Partnership determines the fair value of our reporting units using the discounted cash flow method, the guideline company method, or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representing the incremental value that accrues to the majority owner from the opportunity to dictate the strategic and operational actions of the business. The fair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 estimates used in the long-lived asset and goodwill tests were primarily based on Level 3 inputs of the fair value hierarchy.</w:t>
      </w:r>
    </w:p>
    <w:p>
      <w:pPr>
        <w:spacing w:after="0" w:line="17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of the goodwill balances in its reporting units is currently at significant risk of impairment; however, of the $2.57 billion of goodwill on the Partnership’s consolidated balance sheet as of December 31, 2022, approximately $368 million is recorded in reporting units for which the estimated fair value exceeded the carrying value by less than 20% in the most recent quantitative test.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other non-current liabilities in the Partnership’s consolidated balance sheets included AROs of $362 million and $369 million, respectively. For the years ended December 31, 2022, 2021 and 2020 aggregate accretion expense related to AROs was $4 million, $12 million and $16 million, respectively.</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Except for the AROs discussed above, management was not able to reasonably measure the fair value of AROs as of December 31, 2022 and 2021, in most cases because the settlement dates were indeterminable. Although a number of onshore assets in our systems are subject to agreements or regulations that give rise to an ARO upon discontinued use of these assets, AROs were not recorded because these assets have an indeterminate removal or abandonment date given the expected continued use of the assets with proper maintenance or replacement. Our subsidiaries also have legal obligations for several other assets at previously owned refineries, pipelines and terminals, for which it is not possible to estimate when the obligations will be settled. Consequently, the retirement obligations for these assets cannot be measured at this time. At the end of the useful life of these underlying assets, our subsidiaries are legally or contractually required to abandon in place or remove the asset. We believe we may have additional AROs related to pipeline assets and storage tanks, for which it is not possible to estimate whether or when the AROs will be settled. Consequently, these AROs cannot be measured at this time. Sunoco LP also has AROs related to the estimated future cost to remove underground storage tanks.</w:t>
      </w:r>
    </w:p>
    <w:p>
      <w:pPr>
        <w:spacing w:after="0" w:line="13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other non-current assets on the Partnership’s consolidated balance sheets included $27 million and $39 million, respectively, of funds that were legally restricted for the purpose of settling AROs.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74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advances and deposits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Exchanges payable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certain circumstances, customer advances and deposits are received from our customers as prepayments for natural gas deliveries in the following month. Prepayments and security deposits may be required when customers exceed their credit limits or do not qualify for open credit.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redeemable noncontrolling interests relate to certain preferred unitholders of one of our consolidated subsidiaries that have the option to convert their preferred units to such subsidiary’s common units at the election of the holders and the noncontrolling interest holders in one of our consolidated subsidiaries that have the option to sell their interests to us. In accordance with applicable accounting guidance, the noncontrolling interest is excluded from total equity and reflected as redeemable noncontrolling interests on our consolidated balance sheets. See Note 7 for further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We have commodity derivatives and interest rate derivatives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or SOFR curve, is based on quotes from an active exchange of futures for the same period as the future interest swap settlements. Level 3 inputs are unobservable. During the year ended December 31, 2022, no transfers were made between any levels within the fair value hierarchy.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fair value of our financial assets and liabilities measured and recorded at fair value on a recurring basis as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2022 and 2021 based on inputs used to derive their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Fair Value Measurements at</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3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Total</w:t>
            </w:r>
          </w:p>
        </w:tc>
        <w:tc>
          <w:tcPr>
            <w:tcW w:w="26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38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Natural Gas: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Basis Swaps IFERC/NYMEX</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Swing Swaps IFERC</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Fixed Swaps/Futures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Power:</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Forwards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NGLs – Forwards/Swaps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Crude – Forwards/Swaps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Natural Gas: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Basis Swaps IFERC/NYMEX</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Swing Swaps IFERC</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Fixed Swaps/Futures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Forwards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Futures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NGLs – Forwards/Swaps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Crude – Forwards/Swaps</w:t>
            </w:r>
          </w:p>
        </w:tc>
        <w:tc>
          <w:tcPr>
            <w:tcW w:w="2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 - 19</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Fair Value Measurements at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54"/>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Total</w:t>
            </w:r>
          </w:p>
        </w:tc>
        <w:tc>
          <w:tcPr>
            <w:tcW w:w="26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2"/>
                <w:szCs w:val="22"/>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Swing Swaps IFERC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NGLs – Forwards/Swaps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Crude - Forwards/Swaps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Swing Swaps IFERC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NGLs – Forwards/Swaps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 Forwards/Swaps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Based on the estimated borrowing rates currently available to us and our subsidiaries for loans with similar terms and average maturities, the aggregate fair value and carrying amount of our debt obligations as of December 31, 2022 was $45.42 billion and $48.26 billion, respectively. As of December 31, 2021, the aggregate fair value and carrying amount of our debt obligations was $54.97 billion and $49.70 billion, respectively. The fair value of our consolidated debt obligations is a Level 2 valuation based on the observable inputs used for similar liabilities.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 Costs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certain of our capital projects, third parties are obligated to reimburse us for all or a portion of project expenditures. The majority of such arrangements are associated with pipeline construction and production well tie-ins. Contributions in aid of construction costs (“CIAC”) are netted against our project costs as they are received.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 of products sold include actual cost of fuel sold, adjusted for the effects of our hedging and other commodity derivative activities, and the cost of appliances, parts and fittings. Operating expenses include all costs incurred to provide 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record the collection of taxes to be remitted to government authorities on a net basis, except for consumer excise taxes collected by Sunoco LP on sales of refined products and merchandise which are included in both revenues and costs and expenses in the consolidated statements of operations, with no effect on net income. For the years ended December 31, 2022, 2021 and 2020, excise taxes collected by Sunoco LP were $285 million, $332 million and $301 million,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Issuances of Subsidiary Units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interests are adjusted as a change in partners’ capital.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regularly enters into related party transactions with several of its unconsolidated affiliates. In addition to commercial transactions, these transactions include the provision of certain management services and leases of certain assets. While the Partnership believes that such related party transactions generally reflect market rates, the pricing under such agreements may not be comparable to similar transactions with unaffiliated third parties. For the years ended December 31, 2022, 2021 and 2020, the Partnership’s consolidated income statements reflect revenues from related parties of $391 million, $410 million and $466 million, respectively.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Energy Transfer is a publicly traded limited partnership and is not taxable for federal and most state income tax purposes. As a result, our earnings or losses, to the extent not included in a taxable subsidiary, for federal and most state purposes are included in the tax returns of the individual partners. Net earnings for financial statement purposes may differ significantly from taxable income reportable to Unitholders as a result of differences between the tax basis and financial reporting basis of assets and liabilities, in addition to the allocation requirements related to taxable income under our Partnership Agreement. We do not have access to information regarding each partner’s individual tax basis in our limited partner interests.</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 publicly traded limited partnership, we are subject to a statutory requirement that our “qualifying income” (as defined by the Internal Revenue Code, related Treasury Regulations, and IRS pronouncements) exceed 90% of our total gross income, determined on a calendar year basis. If our qualifying income does not meet this statutory requirement, Energy Transfer would be taxed as a corporation for federal and state income tax purposes. For the years ended December 31, 2022, 2021 and 2020, our qualifying income met the statutory requirement.</w:t>
      </w:r>
    </w:p>
    <w:p>
      <w:pPr>
        <w:spacing w:after="0" w:line="12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Partnership conducts certain activities through corporate subsidiaries which are subject to federal, state and local, and foreign income taxes. These corporate subsidiaries include ETP Holdco, Sunoco Retail LLC, and Aloha, among others. The Partnership and its corporate subsidiaries account for income taxes under the asset and liability method.</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 determine that a derivative is no longer highly effective as a hedge, we discontinue hedge accounting prospectively by including changes in the fair value of the derivative in net income for the period.</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2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flows from derivatives accounted for as cash flow hedges are reported as cash flows from operating activities, in the same category as the cash flows from the items being hedged.</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Equity Incentive Compensation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awards of restricted units, we recognize compensation expense over the vesting period based on the grant-date fair value, which is determined based on the market price of the underlying common units on the grant date. For awards of cash restricted units, we remeasure the fair value of the award at the end of each reporting period based on the market price of the underlying common units as of the reporting date, and the fair value is recorded in other non-current liabilities on our consolidated balance sheets.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the year in which the change occurs within AOCI in equity or, for entities applying regulatory accounting, as a regulatory asset or regulatory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Allocation of Income</w:t>
      </w:r>
    </w:p>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purposes of maintaining partner capital accounts, the Partnership Agreement specifies that items of income and loss shall generally be allocated among the partners in accordance with their percentage interests.</w:t>
      </w:r>
    </w:p>
    <w:p>
      <w:pPr>
        <w:spacing w:after="0" w:line="104" w:lineRule="exact"/>
        <w:rPr>
          <w:sz w:val="20"/>
          <w:szCs w:val="20"/>
          <w:color w:val="auto"/>
        </w:rPr>
      </w:pPr>
    </w:p>
    <w:p>
      <w:pPr>
        <w:ind w:left="340" w:right="5280" w:hanging="332"/>
        <w:spacing w:after="0" w:line="440" w:lineRule="auto"/>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DIVESTITURES AND RELATED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Woodford Express Acquisition</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13, 2022, Energy Transfer completed the acquisition of 100% of the membership interests in Woodford Express, LLC, which owns a mid-continent gas gathering and processing system, for approximately $485 million plus working capital. The system, which is located in the heart of the SCOOP play, has 450 MMcf/d of cryogenic gas processing and treating capacity and over 200 miles of gathering lines, which are connected to Energy Transfer’s pipeline network. Woodford Express, LLC repaid aggregate principal of $292 million on its revolving credit facility and term loan on the closing date of the acquisition, which amount is included in the total consideration.</w:t>
      </w:r>
    </w:p>
    <w:p>
      <w:pPr>
        <w:spacing w:after="0" w:line="1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Energy Transfer Canada Sale</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2022, the Partnership completed the sale of its 51% interest in Energy Transfer Canada. The sale resulted in cash proceeds to Energy Transfer of $302 million.</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Canada’s assets and operations were included in the Partnership’s all other segment until August 2022. Energy Transfer Canada did not meet the criteria to be reflected as discontinued operations in the Partnership’s consolidated statement of operations. Based on the anticipated proceeds upon signing of the share purchase agreement in February 2022, during the three months ended March 31, 2022, the Partnership recorded a write-down on Energy Transfer Canada’s assets of $300 million, of which $164 million was allocated to noncontrolling interests and $136 million was reflected in net income attributable to partners. Upon the completion of the sale in August 2022, the Partnership recorded an $85 million loss on deconsolidation.</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Spindletop Assets Purchase</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2022, the Partnership purchased the membership interests in Caliche Coastal Holdings, LLC (subsequently renamed Energy Transfer Spindletop LLC), which owns an underground storage facility near Mont Belvieu, Texas, for approximately $325 million.</w:t>
      </w:r>
    </w:p>
    <w:p>
      <w:pPr>
        <w:spacing w:after="0" w:line="10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Sunoco LP’s Acquisitions</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2022, Sunoco LP completed the acquisition of Peerless Oil &amp; Chemicals, Inc., an established terminal operator that distributes fuel products to over 100 locations within Puerto Rico and throughout the Caribbean, for $76 million, net of cash acquired.</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 2022, Sunoco LP completed the acquisition of a transmix processing and terminal facility in Huntington, Indiana for $252 million, net of cash acquired, of which $98 million was allocated to intangible assets, $20 million to goodwill, $73 million to property, plant and equipment and $76 million to working capital.</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Enable Acquisition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 2021, the Partnership completed the previously announced merger with Enable (the “Enable Acquisition”). Under the terms of the merger agreement, Enable’s common unitholders received 0.8595 of an Energy Transfer common unit in exchange for each Enable common unit. In addition, each outstanding Enable Series A preferred unit was exchanged for 0.0265 of an Energy Transfer Series G Preferred Unit. A total of 384,780 Series G Preferred Units were issued in connection with the Enable Acquisition. The total fair value of Energy Transfer common units and Series G Preferred Units issued was approximately $3.5 billion at the closing date. Energy Transfer also made a $10 million cash payment for Enable’s general partner and assumed $3.18 billion aggregate principal amount of Enable senior notes. In addition, Enable’s $800 million term loan and $35 million revolving credit facility were repaid and terminated in December 2021, immediately subsequent to the close of the Enable Acquisition.</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Enable Acquisition was recorded using the acquisition method of accounting, which requires, among other things, that assets acquired and liabilities assumed be recognized on the balance sheet at their estimated fair values on the date of acquisition with any excess purchase price over the fair value of net assets acquired recorded to goodwill. Determining the fair value of acquired assets requires management’s judgment and the utilization of an independent valuation specialist, if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applicable, and involves the use of significant estimates and assumptions. Acquired assets were valued based on a combination of the discounted cash flow, the guideline company and the reproduction and replacement methods.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among the assets acquired and liabilities assumed: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At December 2, 2021</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r>
      <w:tr>
        <w:trPr>
          <w:trHeight w:val="257"/>
        </w:trPr>
        <w:tc>
          <w:tcPr>
            <w:tcW w:w="8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8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Long-term debt, less current maturities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56"/>
        </w:trPr>
        <w:tc>
          <w:tcPr>
            <w:tcW w:w="8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84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r>
      <w:tr>
        <w:trPr>
          <w:trHeight w:val="223"/>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net of cash received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1"/>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39" w:lineRule="auto"/>
        <w:tabs>
          <w:tab w:leader="none" w:pos="648" w:val="left"/>
        </w:tabs>
        <w:numPr>
          <w:ilvl w:val="1"/>
          <w:numId w:val="1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debt at December 2, 2021 includes Enable senior notes with an aggregate principal amount of $3.18 billion in senior notes and a fair value of $3.43 billion. It also includes $800 million outstanding on the Enable 2019 Term Loan Agreement and $35 million outstanding on the Enable Five-Year Revolving Credit Facility, both of which were repaid and terminated in December 2021, immediately subsequent to the close of the Enable Acquisition.</w:t>
      </w:r>
    </w:p>
    <w:p>
      <w:pPr>
        <w:spacing w:after="0" w:line="140" w:lineRule="exact"/>
        <w:rPr>
          <w:rFonts w:ascii="Times New Roman" w:cs="Times New Roman" w:eastAsia="Times New Roman" w:hAnsi="Times New Roman"/>
          <w:sz w:val="23"/>
          <w:szCs w:val="23"/>
          <w:color w:val="auto"/>
          <w:vertAlign w:val="superscript"/>
        </w:rPr>
      </w:pPr>
    </w:p>
    <w:p>
      <w:pPr>
        <w:ind w:left="340" w:right="6440" w:hanging="332"/>
        <w:spacing w:after="0" w:line="440" w:lineRule="auto"/>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UNCONSOLIDATED AFFILIATES</w:t>
      </w:r>
      <w:r>
        <w:rPr>
          <w:rFonts w:ascii="Times New Roman" w:cs="Times New Roman" w:eastAsia="Times New Roman" w:hAnsi="Times New Roman"/>
          <w:sz w:val="18"/>
          <w:szCs w:val="18"/>
          <w:b w:val="1"/>
          <w:bCs w:val="1"/>
          <w:color w:val="auto"/>
        </w:rPr>
        <w:t>: Description of Investments</w:t>
      </w:r>
    </w:p>
    <w:p>
      <w:pPr>
        <w:spacing w:after="0" w:line="1" w:lineRule="exact"/>
        <w:rPr>
          <w:rFonts w:ascii="Times New Roman" w:cs="Times New Roman" w:eastAsia="Times New Roman" w:hAnsi="Times New Roman"/>
          <w:sz w:val="18"/>
          <w:szCs w:val="18"/>
          <w:b w:val="1"/>
          <w:bCs w:val="1"/>
          <w:color w:val="auto"/>
        </w:rPr>
      </w:pPr>
    </w:p>
    <w:p>
      <w:pPr>
        <w:ind w:left="340" w:right="5040"/>
        <w:spacing w:after="0" w:line="43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is a summary of the Partnership’s significant unconsolidated investees. </w:t>
      </w:r>
      <w:r>
        <w:rPr>
          <w:rFonts w:ascii="Times New Roman" w:cs="Times New Roman" w:eastAsia="Times New Roman" w:hAnsi="Times New Roman"/>
          <w:sz w:val="18"/>
          <w:szCs w:val="18"/>
          <w:i w:val="1"/>
          <w:iCs w:val="1"/>
          <w:color w:val="auto"/>
        </w:rPr>
        <w:t>Citrus</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owns a 50% interest in Citrus. Citrus owns 100% of FGT, an approximately 5,362-mile natural gas pipeline system that originates in Texas and delivers natural gas to the Florida peninsula. Our investment in Citrus is reflected in our interstate transportation and storage segment.</w:t>
      </w:r>
    </w:p>
    <w:p>
      <w:pPr>
        <w:spacing w:after="0" w:line="10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MEP</w:t>
      </w:r>
    </w:p>
    <w:p>
      <w:pPr>
        <w:spacing w:after="0" w:line="17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owns a 50% interest in MEP, which owns the Midcontinent Express Pipeline, an approximately 500-mile natural gas pipeline that extends from Southeast Oklahoma, across Northeast Texas, Northern Louisiana and Central Mississippi to an interconnect with the Transcontinental natural gas pipeline system in Butler, Alabama. Our investment in MEP is reflected in the interstate transportation and storage segment.</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White Cliffs</w:t>
      </w:r>
    </w:p>
    <w:p>
      <w:pPr>
        <w:spacing w:after="0" w:line="173"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owns a 51% interest in White Cliffs, which consists of two parallel, 12-inch common carrier pipelines: one crude oil pipeline and one NGL pipeline. These pipelines transport crude and NGLs from Platteville, Colorado to Cushing, Oklahoma. The Partnership recorded an impairment of its investment in White Cliffs of $129 million during the year ended December 31, 2020 due to a decrease in projected future revenues and cash flows as a result of the overall market demand decline.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Explorer</w:t>
      </w:r>
    </w:p>
    <w:p>
      <w:pPr>
        <w:spacing w:after="0" w:line="17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Energy Transfer owns a 15% membership interest in Explorer, which consists of a 1,850-mile pipeline which originates from refining centers in Beaumont, Port Arthur, and Houston, Texas and extends to Chicago, Illinois. Our investment in Explorer is reflected in our NGL and refined products transportation and services segment.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Balances Related to Unconsolidated Affiliates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the Partnership’s investments in unconsolidated affiliates as of December 31, 2022 and 2021 were as follows:</w:t>
      </w:r>
    </w:p>
    <w:p>
      <w:pPr>
        <w:spacing w:after="0" w:line="212"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17145</wp:posOffset>
            </wp:positionV>
            <wp:extent cx="18516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7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8460"/>
        <w:spacing w:after="0"/>
        <w:tabs>
          <w:tab w:leader="none" w:pos="994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67766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80">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Citrus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81">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White Cliffs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Explorer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82">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equity in earnings (losses) of unconsolidated affiliates: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15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0"/>
        </w:trPr>
        <w:tc>
          <w:tcPr>
            <w:tcW w:w="15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5"/>
        </w:trPr>
        <w:tc>
          <w:tcPr>
            <w:tcW w:w="33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1" w:lineRule="exact"/>
        <w:rPr>
          <w:sz w:val="20"/>
          <w:szCs w:val="20"/>
          <w:color w:val="auto"/>
        </w:rPr>
      </w:pPr>
    </w:p>
    <w:p>
      <w:pPr>
        <w:sectPr>
          <w:pgSz w:w="11900" w:h="16838" w:orient="portrait"/>
          <w:cols w:equalWidth="0" w:num="2">
            <w:col w:w="6360" w:space="80"/>
            <w:col w:w="4800"/>
          </w:cols>
          <w:pgMar w:left="320" w:top="114" w:right="339" w:bottom="1440" w:gutter="0" w:footer="0" w:header="0"/>
          <w:type w:val="continuous"/>
        </w:sectPr>
      </w:pPr>
    </w:p>
    <w:tbl>
      <w:tblPr>
        <w:tblLayout w:type="fixed"/>
        <w:tblInd w:w="340" w:type="dxa"/>
        <w:tblCellMar>
          <w:top w:w="0" w:type="dxa"/>
          <w:left w:w="0" w:type="dxa"/>
          <w:bottom w:w="0" w:type="dxa"/>
          <w:right w:w="0" w:type="dxa"/>
        </w:tblCellMar>
      </w:tblP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Citrus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MEP</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Explorer</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hanging="328"/>
        <w:spacing w:after="0" w:line="229" w:lineRule="auto"/>
        <w:tabs>
          <w:tab w:leader="none" w:pos="648" w:val="left"/>
        </w:tabs>
        <w:numPr>
          <w:ilvl w:val="0"/>
          <w:numId w:val="1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2020, equity in earnings (losses) of unconsolidated affiliates includes the impact of non-cash impairments recorded by FEP, which reduced the Partnership’s equity in earnings by $208 million.</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Summarized Financial Information</w:t>
      </w:r>
    </w:p>
    <w:p>
      <w:pPr>
        <w:spacing w:after="0" w:line="17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aggregated selected balance sheet and income statement data for our unconsolidated affiliates, Citrus, MEP, White Cliffs and Explorer (on a 100% basis) for all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8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4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7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00" w:type="dxa"/>
            <w:vAlign w:val="bottom"/>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 - 25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3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equity method investments described above, we have other equity method investments which are not significant to our consolidated financial statements.</w:t>
      </w:r>
    </w:p>
    <w:p>
      <w:pPr>
        <w:spacing w:after="0" w:line="104"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COMMON UNIT</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per common unit is computed by dividing net income, after considering the General Partner’s interest, by the weighted average number of limited partner interests outstanding. Diluted net income per common unit is computed by dividing net income (as adjusted as discussed herein), after considering the General Partner’s interest, by the weighted average number of limited partner interests outstanding. For the diluted earnings per share computation, income allocable to the limited partners is reduced, where applicable, for the decrease in earnings from Energy Transfer’s limited partner unit ownership in Sunoco LP that would have resulted assuming the incremental units related to Sunoco LP’s equity incentive plans, as applicable, had been issued during the respective periods. Such units have been determined based on the treasury stock method.</w:t>
      </w:r>
    </w:p>
    <w:p>
      <w:pPr>
        <w:spacing w:after="0" w:line="1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net income and weighted average units used in computing basic and diluted net income per unit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net of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General Partner’s interest in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Preferred Unitholders’ interest in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 interest in 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Common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5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units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Basic income (loss) per common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598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(Loss) per Common Unit: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Unitholders’ interest in 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equity-based compensation of subsidiaries and distributions to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units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available to Common Unitholders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units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effect of unvested unit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98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Weighted average common units, assuming dilutive effect of unvested unit</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 income (loss) per common unit</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980" w:type="dxa"/>
            <w:vAlign w:val="bottom"/>
            <w:vMerge w:val="restart"/>
          </w:tcPr>
          <w:p>
            <w:pPr>
              <w:ind w:left="5060"/>
              <w:spacing w:after="0"/>
              <w:rPr>
                <w:sz w:val="20"/>
                <w:szCs w:val="20"/>
                <w:color w:val="auto"/>
              </w:rPr>
            </w:pPr>
            <w:r>
              <w:rPr>
                <w:rFonts w:ascii="Times New Roman" w:cs="Times New Roman" w:eastAsia="Times New Roman" w:hAnsi="Times New Roman"/>
                <w:sz w:val="18"/>
                <w:szCs w:val="18"/>
                <w:color w:val="auto"/>
              </w:rPr>
              <w:t>F - 26</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4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 OBLIGATIONS:</w:t>
      </w:r>
    </w:p>
    <w:p>
      <w:pPr>
        <w:spacing w:after="0" w:line="17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Rollup Mergers on April 1, 2021, as discussed in Note 1, Energy Transfer entered into various supplemental indentures and assumed all the obligations of ETO under the respective indentures and credit agreements.</w:t>
      </w:r>
    </w:p>
    <w:p>
      <w:pPr>
        <w:spacing w:after="0" w:line="10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2022, Energy Transfer and Panhandle completed an internal reorganization which resulted in Energy Transfer assuming all of Panhandle’s notes and debentures.</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obligations consist of the following:</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18"/>
                <w:szCs w:val="18"/>
                <w:color w:val="auto"/>
              </w:rPr>
            </w:pPr>
          </w:p>
        </w:tc>
      </w:tr>
      <w:tr>
        <w:trPr>
          <w:trHeight w:val="207"/>
        </w:trPr>
        <w:tc>
          <w:tcPr>
            <w:tcW w:w="7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r>
      <w:tr>
        <w:trPr>
          <w:trHeight w:val="19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Energy Transfer Indebtedness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4.65%</w:t>
            </w:r>
          </w:p>
        </w:tc>
        <w:tc>
          <w:tcPr>
            <w:tcW w:w="6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Senior Notes due February 15, 2022</w:t>
            </w:r>
            <w:r>
              <w:rPr>
                <w:rFonts w:ascii="Times New Roman" w:cs="Times New Roman" w:eastAsia="Times New Roman" w:hAnsi="Times New Roman"/>
                <w:sz w:val="21"/>
                <w:szCs w:val="21"/>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October 1, 2022</w:t>
            </w:r>
            <w:r>
              <w:rPr>
                <w:rFonts w:ascii="Times New Roman" w:cs="Times New Roman" w:eastAsia="Times New Roman" w:hAnsi="Times New Roman"/>
                <w:sz w:val="21"/>
                <w:szCs w:val="21"/>
                <w:color w:val="auto"/>
                <w:vertAlign w:val="superscript"/>
              </w:rPr>
              <w:t>(1)</w:t>
            </w:r>
          </w:p>
        </w:tc>
        <w:tc>
          <w:tcPr>
            <w:tcW w:w="900" w:type="dxa"/>
            <w:vAlign w:val="bottom"/>
          </w:tcPr>
          <w:p>
            <w:pPr>
              <w:spacing w:after="0"/>
              <w:rPr>
                <w:sz w:val="18"/>
                <w:szCs w:val="18"/>
                <w:color w:val="auto"/>
              </w:rPr>
            </w:pPr>
          </w:p>
        </w:tc>
        <w:tc>
          <w:tcPr>
            <w:tcW w:w="112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3.45%</w:t>
            </w:r>
          </w:p>
        </w:tc>
        <w:tc>
          <w:tcPr>
            <w:tcW w:w="67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January 15, 2023</w:t>
            </w:r>
            <w:r>
              <w:rPr>
                <w:rFonts w:ascii="Times New Roman" w:cs="Times New Roman" w:eastAsia="Times New Roman" w:hAnsi="Times New Roman"/>
                <w:sz w:val="21"/>
                <w:szCs w:val="21"/>
                <w:color w:val="auto"/>
                <w:vertAlign w:val="superscript"/>
              </w:rPr>
              <w:t>(2)(3)</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3.60%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February 1, 2023</w:t>
            </w:r>
            <w:r>
              <w:rPr>
                <w:rFonts w:ascii="Times New Roman" w:cs="Times New Roman" w:eastAsia="Times New Roman" w:hAnsi="Times New Roman"/>
                <w:sz w:val="21"/>
                <w:szCs w:val="21"/>
                <w:color w:val="auto"/>
                <w:vertAlign w:val="superscript"/>
              </w:rPr>
              <w:t>(2)(3)</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4.25%</w:t>
            </w:r>
          </w:p>
        </w:tc>
        <w:tc>
          <w:tcPr>
            <w:tcW w:w="67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March 15, 2023</w:t>
            </w:r>
            <w:r>
              <w:rPr>
                <w:rFonts w:ascii="Times New Roman" w:cs="Times New Roman" w:eastAsia="Times New Roman" w:hAnsi="Times New Roman"/>
                <w:sz w:val="21"/>
                <w:szCs w:val="21"/>
                <w:color w:val="auto"/>
                <w:vertAlign w:val="superscript"/>
              </w:rPr>
              <w:t>(3)</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4.25%</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March 15, 2023</w:t>
            </w:r>
            <w:r>
              <w:rPr>
                <w:rFonts w:ascii="Times New Roman" w:cs="Times New Roman" w:eastAsia="Times New Roman" w:hAnsi="Times New Roman"/>
                <w:sz w:val="21"/>
                <w:szCs w:val="21"/>
                <w:color w:val="auto"/>
                <w:vertAlign w:val="superscript"/>
              </w:rPr>
              <w:t>(3)</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4.20%</w:t>
            </w:r>
          </w:p>
        </w:tc>
        <w:tc>
          <w:tcPr>
            <w:tcW w:w="67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September 15, 2023</w:t>
            </w:r>
            <w:r>
              <w:rPr>
                <w:rFonts w:ascii="Times New Roman" w:cs="Times New Roman" w:eastAsia="Times New Roman" w:hAnsi="Times New Roman"/>
                <w:sz w:val="21"/>
                <w:szCs w:val="21"/>
                <w:color w:val="auto"/>
                <w:vertAlign w:val="superscript"/>
              </w:rPr>
              <w:t>(3)</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4.50%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November 1, 2023</w:t>
            </w:r>
            <w:r>
              <w:rPr>
                <w:rFonts w:ascii="Times New Roman" w:cs="Times New Roman" w:eastAsia="Times New Roman" w:hAnsi="Times New Roman"/>
                <w:sz w:val="21"/>
                <w:szCs w:val="21"/>
                <w:color w:val="auto"/>
                <w:vertAlign w:val="superscript"/>
              </w:rPr>
              <w:t>(3)</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6"/>
        </w:trPr>
        <w:tc>
          <w:tcPr>
            <w:tcW w:w="7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5.875% Senior Notes due January 15, 2024</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7.60%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February 1, 2024</w:t>
            </w:r>
            <w:r>
              <w:rPr>
                <w:rFonts w:ascii="Times New Roman" w:cs="Times New Roman" w:eastAsia="Times New Roman" w:hAnsi="Times New Roman"/>
                <w:sz w:val="21"/>
                <w:szCs w:val="21"/>
                <w:color w:val="auto"/>
                <w:vertAlign w:val="superscript"/>
              </w:rPr>
              <w:t>(4)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5.875% Senior Notes due January 15, 2024</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2024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7.60%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2024</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4.25%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 2024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4.50%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2024</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15, 2024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9.00%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Debentures due November 1, 2024</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4.05%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2025</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2.90%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15, 2025</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5.95%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December 1, 2025</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4.75%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January 15, 2026</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July 15, 2026</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4.40%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March 15, 2027</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4.20%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2027</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5.50%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June 1, 2027</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June 1, 2027</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4.00%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2027</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2028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15, 2028</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June 15, 2028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5.25%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2029</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7.00%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July 15, 2029</w:t>
            </w:r>
            <w:r>
              <w:rPr>
                <w:rFonts w:ascii="Times New Roman" w:cs="Times New Roman" w:eastAsia="Times New Roman" w:hAnsi="Times New Roman"/>
                <w:sz w:val="21"/>
                <w:szCs w:val="21"/>
                <w:color w:val="auto"/>
                <w:vertAlign w:val="superscript"/>
              </w:rPr>
              <w:t>(4)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4.15%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September 15, 2029</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8.25%</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November 15, 2029</w:t>
            </w:r>
            <w:r>
              <w:rPr>
                <w:rFonts w:ascii="Times New Roman" w:cs="Times New Roman" w:eastAsia="Times New Roman" w:hAnsi="Times New Roman"/>
                <w:sz w:val="21"/>
                <w:szCs w:val="21"/>
                <w:color w:val="auto"/>
                <w:vertAlign w:val="superscript"/>
              </w:rPr>
              <w:t>(4)</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8.25%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November 15, 2029</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3.75%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 due May 15, 2030</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5.75%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2033</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2035</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6.625% Senior Notes due October 15, 2036</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5.80% Senior Notes due June 15, 2038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7.50%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July 1, 2038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6.85%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2040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6.05%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June 1, 2041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6.50%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2042</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2042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January 15, 2043</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2043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5.95%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2043</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5.30%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 2044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15, 2044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March 15, 2045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5.35%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15, 2045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6.125% Senior Notes due December 15, 2045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5.30%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15, 2047</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5.40%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2047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6.00%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June 15, 2048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6.25%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15, 2049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15, 2050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Floating Rate Junior Subordinated Notes due November 1, 2066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Five-Year Credit Facility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3"/>
        </w:trPr>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9"/>
        </w:trPr>
        <w:tc>
          <w:tcPr>
            <w:tcW w:w="7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40,717</w:t>
            </w:r>
          </w:p>
        </w:tc>
      </w:tr>
      <w:tr>
        <w:trPr>
          <w:trHeight w:val="239"/>
        </w:trPr>
        <w:tc>
          <w:tcPr>
            <w:tcW w:w="7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Indebtedness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Transwestern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600" w:type="dxa"/>
            <w:vAlign w:val="bottom"/>
            <w:gridSpan w:val="2"/>
            <w:shd w:val="clear" w:color="auto" w:fill="CCEEFF"/>
          </w:tcPr>
          <w:p>
            <w:pPr>
              <w:ind w:left="340"/>
              <w:spacing w:after="0" w:line="217" w:lineRule="exact"/>
              <w:rPr>
                <w:sz w:val="20"/>
                <w:szCs w:val="20"/>
                <w:color w:val="auto"/>
              </w:rPr>
            </w:pPr>
            <w:r>
              <w:rPr>
                <w:rFonts w:ascii="Times New Roman" w:cs="Times New Roman" w:eastAsia="Times New Roman" w:hAnsi="Times New Roman"/>
                <w:sz w:val="16"/>
                <w:szCs w:val="16"/>
                <w:color w:val="auto"/>
              </w:rPr>
              <w:t>5.89% Senior Notes due May 24, 2022</w:t>
            </w:r>
            <w:r>
              <w:rPr>
                <w:rFonts w:ascii="Times New Roman" w:cs="Times New Roman" w:eastAsia="Times New Roman" w:hAnsi="Times New Roman"/>
                <w:sz w:val="21"/>
                <w:szCs w:val="21"/>
                <w:color w:val="auto"/>
                <w:vertAlign w:val="superscript"/>
              </w:rPr>
              <w:t>(1)</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5.66% Senior Notes due December 9,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6.16% Senior Notes due May 24, 2037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78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9"/>
        </w:trPr>
        <w:tc>
          <w:tcPr>
            <w:tcW w:w="78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5"/>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Panhandle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7.60%</w:t>
            </w:r>
          </w:p>
        </w:tc>
        <w:tc>
          <w:tcPr>
            <w:tcW w:w="682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6"/>
                <w:szCs w:val="16"/>
                <w:color w:val="auto"/>
              </w:rPr>
              <w:t>Senior Notes due February 1, 2024</w:t>
            </w:r>
            <w:r>
              <w:rPr>
                <w:rFonts w:ascii="Times New Roman" w:cs="Times New Roman" w:eastAsia="Times New Roman" w:hAnsi="Times New Roman"/>
                <w:sz w:val="21"/>
                <w:szCs w:val="21"/>
                <w:color w:val="auto"/>
                <w:vertAlign w:val="superscript"/>
              </w:rPr>
              <w:t>(4)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7.00%</w:t>
            </w:r>
          </w:p>
        </w:tc>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July 15, 2029</w:t>
            </w:r>
            <w:r>
              <w:rPr>
                <w:rFonts w:ascii="Times New Roman" w:cs="Times New Roman" w:eastAsia="Times New Roman" w:hAnsi="Times New Roman"/>
                <w:sz w:val="21"/>
                <w:szCs w:val="21"/>
                <w:color w:val="auto"/>
                <w:vertAlign w:val="superscript"/>
              </w:rPr>
              <w:t>(4)</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8.25%</w:t>
            </w:r>
          </w:p>
        </w:tc>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November 15, 2029</w:t>
            </w:r>
            <w:r>
              <w:rPr>
                <w:rFonts w:ascii="Times New Roman" w:cs="Times New Roman" w:eastAsia="Times New Roman" w:hAnsi="Times New Roman"/>
                <w:sz w:val="21"/>
                <w:szCs w:val="21"/>
                <w:color w:val="auto"/>
                <w:vertAlign w:val="superscript"/>
              </w:rPr>
              <w:t>(4)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760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6"/>
                <w:szCs w:val="16"/>
                <w:color w:val="auto"/>
              </w:rPr>
              <w:t>Floating Rate Junior Subordinated Notes due November 1, 2066</w:t>
            </w:r>
            <w:r>
              <w:rPr>
                <w:rFonts w:ascii="Times New Roman" w:cs="Times New Roman" w:eastAsia="Times New Roman" w:hAnsi="Times New Roman"/>
                <w:sz w:val="21"/>
                <w:szCs w:val="21"/>
                <w:color w:val="auto"/>
                <w:vertAlign w:val="superscript"/>
              </w:rPr>
              <w:t>(4)</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760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Unamortized premiums, discounts and fair value adjustments, net</w:t>
            </w:r>
            <w:r>
              <w:rPr>
                <w:rFonts w:ascii="Times New Roman" w:cs="Times New Roman" w:eastAsia="Times New Roman" w:hAnsi="Times New Roman"/>
                <w:sz w:val="21"/>
                <w:szCs w:val="21"/>
                <w:color w:val="auto"/>
                <w:vertAlign w:val="superscript"/>
              </w:rPr>
              <w:t>(4)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78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39"/>
        </w:trPr>
        <w:tc>
          <w:tcPr>
            <w:tcW w:w="78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5"/>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Bakken Project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600" w:type="dxa"/>
            <w:vAlign w:val="bottom"/>
            <w:gridSpan w:val="2"/>
            <w:shd w:val="clear" w:color="auto" w:fill="CCEEFF"/>
          </w:tcPr>
          <w:p>
            <w:pPr>
              <w:ind w:left="340"/>
              <w:spacing w:after="0" w:line="217" w:lineRule="exact"/>
              <w:rPr>
                <w:sz w:val="20"/>
                <w:szCs w:val="20"/>
                <w:color w:val="auto"/>
              </w:rPr>
            </w:pPr>
            <w:r>
              <w:rPr>
                <w:rFonts w:ascii="Times New Roman" w:cs="Times New Roman" w:eastAsia="Times New Roman" w:hAnsi="Times New Roman"/>
                <w:sz w:val="16"/>
                <w:szCs w:val="16"/>
                <w:color w:val="auto"/>
              </w:rPr>
              <w:t>3.625% Senior Notes due April 1, 2022</w:t>
            </w:r>
            <w:r>
              <w:rPr>
                <w:rFonts w:ascii="Times New Roman" w:cs="Times New Roman" w:eastAsia="Times New Roman" w:hAnsi="Times New Roman"/>
                <w:sz w:val="21"/>
                <w:szCs w:val="21"/>
                <w:color w:val="auto"/>
                <w:vertAlign w:val="superscript"/>
              </w:rPr>
              <w:t>(1)</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4.625% Senior Notes due April 1, 2029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 w:right="7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75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39"/>
        </w:trPr>
        <w:tc>
          <w:tcPr>
            <w:tcW w:w="7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Sunoco LP Debt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6.00% Senior Notes Due April 15, 2027</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5.875% Senior Notes Due March 15, 2028</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4.50% Senior Notes due May 15, 2029</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4.50% Senior Notes due April 30, 2030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Sunoco LP $1.50 billion Revolving Credit Facility due July 2023</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obligations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75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39"/>
        </w:trPr>
        <w:tc>
          <w:tcPr>
            <w:tcW w:w="7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USAC Debt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6.875% Senior Notes due April 1, 2026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6.875% Senior Notes due September 1, 2027</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758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USAC $1.60 billion Revolving Credit Facility due December 2026</w:t>
            </w:r>
            <w:r>
              <w:rPr>
                <w:rFonts w:ascii="Times New Roman" w:cs="Times New Roman" w:eastAsia="Times New Roman" w:hAnsi="Times New Roman"/>
                <w:sz w:val="21"/>
                <w:szCs w:val="21"/>
                <w:color w:val="auto"/>
                <w:vertAlign w:val="superscript"/>
              </w:rPr>
              <w:t>(5)</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3"/>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39"/>
        </w:trPr>
        <w:tc>
          <w:tcPr>
            <w:tcW w:w="7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HFOTCO Debt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HFOTCO Tax Exempt Notes due 2050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75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39"/>
        </w:trPr>
        <w:tc>
          <w:tcPr>
            <w:tcW w:w="7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Energy Transfer Canada Debt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580" w:type="dxa"/>
            <w:vAlign w:val="bottom"/>
            <w:shd w:val="clear" w:color="auto" w:fill="CCEEFF"/>
          </w:tcPr>
          <w:p>
            <w:pPr>
              <w:ind w:left="340"/>
              <w:spacing w:after="0" w:line="217" w:lineRule="exact"/>
              <w:rPr>
                <w:sz w:val="20"/>
                <w:szCs w:val="20"/>
                <w:color w:val="auto"/>
              </w:rPr>
            </w:pPr>
            <w:r>
              <w:rPr>
                <w:rFonts w:ascii="Times New Roman" w:cs="Times New Roman" w:eastAsia="Times New Roman" w:hAnsi="Times New Roman"/>
                <w:sz w:val="16"/>
                <w:szCs w:val="16"/>
                <w:color w:val="auto"/>
              </w:rPr>
              <w:t>Energy Transfer Canada facilities</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07"/>
        </w:trPr>
        <w:tc>
          <w:tcPr>
            <w:tcW w:w="75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39"/>
        </w:trPr>
        <w:tc>
          <w:tcPr>
            <w:tcW w:w="7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49,702</w:t>
            </w:r>
          </w:p>
        </w:tc>
      </w:tr>
      <w:tr>
        <w:trPr>
          <w:trHeight w:val="207"/>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3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14" w:right="339" w:bottom="1440" w:gutter="0" w:footer="0" w:header="0"/>
        </w:sectPr>
      </w:pPr>
    </w:p>
    <w:p>
      <w:pPr>
        <w:ind w:left="340"/>
        <w:spacing w:after="0"/>
        <w:rPr>
          <w:sz w:val="20"/>
          <w:szCs w:val="20"/>
          <w:color w:val="auto"/>
        </w:rPr>
      </w:pPr>
      <w:r>
        <w:rPr>
          <w:rFonts w:ascii="Times New Roman" w:cs="Times New Roman" w:eastAsia="Times New Roman" w:hAnsi="Times New Roman"/>
          <w:sz w:val="9"/>
          <w:szCs w:val="9"/>
          <w:color w:val="auto"/>
        </w:rPr>
        <w:t>(1)</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These notes were redeemed in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notes were redeemed in the first quarter of 2023.</w:t>
      </w:r>
    </w:p>
    <w:p>
      <w:pPr>
        <w:spacing w:after="0" w:line="117" w:lineRule="exact"/>
        <w:rPr>
          <w:sz w:val="20"/>
          <w:szCs w:val="20"/>
          <w:color w:val="auto"/>
        </w:rPr>
      </w:pPr>
    </w:p>
    <w:p>
      <w:pPr>
        <w:sectPr>
          <w:pgSz w:w="11900" w:h="16838" w:orient="portrait"/>
          <w:cols w:equalWidth="0" w:num="2">
            <w:col w:w="460" w:space="180"/>
            <w:col w:w="10600"/>
          </w:cols>
          <w:pgMar w:left="320" w:top="114" w:right="339" w:bottom="1440" w:gutter="0" w:footer="0" w:header="0"/>
          <w:type w:val="continuous"/>
        </w:sectPr>
      </w:pPr>
    </w:p>
    <w:p>
      <w:pPr>
        <w:ind w:left="660" w:hanging="328"/>
        <w:spacing w:after="0" w:line="229" w:lineRule="auto"/>
        <w:tabs>
          <w:tab w:leader="none" w:pos="648" w:val="left"/>
        </w:tabs>
        <w:numPr>
          <w:ilvl w:val="0"/>
          <w:numId w:val="1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2022, these notes were classified as long-term as management had the intent and ability to refinance the borrowings on a long-term basis.</w:t>
      </w:r>
    </w:p>
    <w:p>
      <w:pPr>
        <w:spacing w:after="0" w:line="60"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previously, Panhandle’s debt was assumed by Energy Transfer during 2022 as a result of an internal reorganization.</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USAC Credit Facility matures in December 2026, except that if any portion of the 6.875% Senior Notes due 2026 are outstanding on December 31, 2025, the USAC Credit Facility will mature on December 31, 2025.</w:t>
      </w:r>
    </w:p>
    <w:p>
      <w:pPr>
        <w:spacing w:after="0" w:line="60"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30"/>
        </w:numPr>
        <w:rPr>
          <w:rFonts w:ascii="Times New Roman" w:cs="Times New Roman" w:eastAsia="Times New Roman" w:hAnsi="Times New Roman"/>
          <w:sz w:val="23"/>
          <w:szCs w:val="23"/>
          <w:color w:val="212529"/>
          <w:vertAlign w:val="superscript"/>
        </w:rPr>
      </w:pPr>
      <w:r>
        <w:rPr>
          <w:rFonts w:ascii="Times New Roman" w:cs="Times New Roman" w:eastAsia="Times New Roman" w:hAnsi="Times New Roman"/>
          <w:sz w:val="18"/>
          <w:szCs w:val="18"/>
          <w:color w:val="auto"/>
        </w:rPr>
        <w:t>These facilities were included in the August 2022 Energy Transfer Canada divestiture as discussed in Note 3.</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reflects future maturities of long-term debt for each of the next five years and thereafter. These amounts exclude $42 million in unamortized premiums, fair value adjustments and deferred debt issuance costs, net:</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28,465</w:t>
            </w:r>
          </w:p>
        </w:tc>
      </w:tr>
      <w:tr>
        <w:trPr>
          <w:trHeight w:val="248"/>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Notes and Debentures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Energy Transfer Senior Notes are the Partnership’s senior obligations, ranking equally in right of payment with our other existing and future unsubordinated debt and senior to any of its future subordinated debt. Energy Transfer’s obligations under the Energy Transfer Senior Notes previously were secured on a first-priority basis with its obligations under the Revolver Credit Agreement and the Energy Transfer Term Loan Facility, by a lien on substantially all of Energy Transfer’s and certain of its subsidiaries’ tangible and intangible assets, subject to certain exceptions and permitted liens. Subsequent to the termination of the Revolver Credit Agreement and the Energy Transfer Term Loan Facility, the collateral securing the Energy Transfer Senior Notes was released. The Energy Transfer Senior Notes are not guaranteed by any of its subsidiaries.</w:t>
      </w:r>
    </w:p>
    <w:p>
      <w:pPr>
        <w:spacing w:after="0" w:line="1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covenants related to the Energy Transfer Senior Notes include a limitation on liens, a limitation on transactions with affiliates, a restriction on sale-leaseback transactions and limitations on mergers and sales of all or substantially all of the Partnership’s assets.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 and Commercial Paper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Five-Year Credit Facility</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Partnership’s Five-Year Credit Facility allows for unsecured borrowings up to $5.00 billion and matures on April 11, 2027. The Five-Year Credit Facility contains an accordion feature, under which the total aggregate commitment may be increased up to $7.00 billion under certain conditions.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2022, the Five-Year Credit Facility had $793 million of outstanding borrowings, of which $750 million consisted of commercial paper. The amount available for future borrowings was $4.18 billion, after accounting for outstanding letters of credit in the amount of $32 million. The weighted average interest rate on the total amount outstanding as of December 31, 2022 was 5.12%.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 Credit Facility</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Sunoco LP maintains a $1.50 billion revolving credit facility (the “Sunoco LP Credit Facility”). As of December 31, 2022, the Sunoco LP Credit Facility had $900 million of outstanding borrowings and $7 million in standby letters of credit and matures in July 2023. The amount available for future borrowings was $593 million at December 31, 2022. The weighted average interest rate on the total amount outstanding as of December 31, 2022 was 6.17%.</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 Credit Facility</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USAC maintains a $1.60 billion revolving credit facility (the “USAC Credit Facility”) which matures on December 8, 2026, except that if any portion of USAC’s senior notes due 2026 are outstanding on December 31, 2025, the USAC Credit Facility will mature on December 31, 2025. The USAC Credit Facility also permits up to $200 million of future increases in borrowing capacity. As of December 31, 2022, USAC had $646 million of outstanding borrowings and no outstanding letters of credit under the credit agreement. As of December 31, 2022, USAC had $954 million of availability under its credit facility, and subject to compliance with applicable financial covenants, available borrowing capacity of $333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interest rate on the total amount outstanding as of December 31, 2022 was 6.84%.</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Related to Our Credit Agreements</w:t>
      </w:r>
    </w:p>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agreements relating to the Senior Notes contain restrictive covenants customary for an issuer with an investment-grade rating from the rating agencies, which covenants include limitations on liens and a restriction on sale-leaseback transactions.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Five-Year Credit Facility contains covenants that limit (subject to certain exceptions) the Partnership’s and certain of the Partnership’s subsidiaries’ ability to, among other things:</w:t>
      </w:r>
    </w:p>
    <w:p>
      <w:pPr>
        <w:spacing w:after="0" w:line="54"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(as defined in the Five-Year Credit Facility) during certain Defaults (as defined in the Five-Year Credit Facility) and during any Event of Default (as defined in the Five-Year Credit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substantially different in nature than the business currently conducted by the Partnership and its subsidiaries;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agreements.</w:t>
      </w:r>
    </w:p>
    <w:p>
      <w:pPr>
        <w:spacing w:after="0" w:line="17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applicable margin and rate used in connection with the interest rates and commitment fees, respectively, are based on the credit ratings assigned to our senior, unsecured, non-credit enhanced long-term debt. The applicable margin for eurodollar rate loans under the Five-Year Credit Facility ranges from 1.125% to 2.000% and the applicable margin for base rate loans ranges from 0.125% to 1.000%. The applicable rate for commitment fees under the Five-Year Credit Facility ranges from 0.125% to 0.300%.</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Five-Year Credit Facility contains various covenants including limitations on the creation of indebtedness and liens and related to the operation and conduct of our business. The Five-Year Credit Facility also limits us, on a rolling four quarter basis, to a maximum Consolidated Funded Indebtedness to Consolidated EBITDA ratio, as defined in the underlying credit agreement, of 5.00 to 1.00, which can generally be increased to 5.50 to 1.00 during a Specified Acquisition Period. Our Leverage Ratio was 3.32 to 1.00 at December 31, 2022, as calculated in accordance with the credit agreement.</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Transwestern</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Panhandle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Sunoco LP</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specified net leverage ratio and interest coverage ratio.</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USAC</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or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guarantee other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our assets;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USAC Credit Facility is also subject to the following financial covenants, including covenants requiring USAC to maintain:</w:t>
      </w:r>
    </w:p>
    <w:p>
      <w:pPr>
        <w:spacing w:after="0" w:line="117"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EBITDA to interest coverage ratio;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secured indebtedness to EBITDA within a specified range;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funded debt to EBITDA ratio.</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the HFOTCO Tax Exempt Notes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our Covenants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and note agreements could require us or our subsidiaries to pay debt balances prior to scheduled maturity and could negatively impact the subsidiaries ability to incur additional debt and/or our ability to pay distributions.</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and our subsidiaries were in compliance with all requirements, tests, limitations, and covenants related to our debt agreements as of December 31, 2022.</w:t>
      </w:r>
    </w:p>
    <w:p>
      <w:pPr>
        <w:spacing w:after="0" w:line="104"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REDEEMABLE NONCONTROLLING INTERESTS: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redeemable noncontrolling interests in the Partnership’s subsidiaries are reflected as mezzanine equity on the consolidated balance sheet. Redeemable noncontrolling interests as of December 31, 2022 included a balance of $477 million related to the USAC Preferred Units, described below, and a balance of $16 million related to noncontrolling interest holders in one of the Partnership’s consolidated subsidiaries that have the option to sell their interests to the Partnership. As of December 31, 2021, redeemable noncontrolling interests included a balance of $477 million related to the USAC Preferred Units, a balance of $15 million related to noncontrolling interest holders in one of the Partnership’s consolidated subsidiaries that have the option to sell their interests to the Partnership and a balance of $291 million related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to Energy Transfer Canada preferred shares. The Energy Transfer Canada preferred shares were deconsolidated in connection with the sale in August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 Series A Preferred Units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of December 31, 2022, USAC had 500,000 preferred units issued and outstanding. 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are convertible into USAC common units at the election of the holders. As of December 31, 2022, a total of 333,333 USAC Preferred Units are convertible, at the option of the holder, into a maximum of 16,657,088 USAC common units, including unpaid cash distributions. As of April 2, 2023, all of the USAC Preferred Units will be convertible, at the option of the holder, into a maximum of 24,985,633 USAC common units. To the extent the holders of the USAC Preferred Units have not elected to convert their preferred units by the fifth anniversary of the issue date, USAC will have the option to redeem all or any portion of the USAC Preferred Units for cash. In addition, beginning April 2028, the holders of the USAC Preferred Units will have the right to require USAC to redeem all or any portion of the USAC Preferred Units, and USAC may elect to pay up to 50% of such redemption amount in USAC common units.</w:t>
      </w:r>
    </w:p>
    <w:p>
      <w:pPr>
        <w:spacing w:after="0" w:line="130"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Partner Units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Limited partner interests in the Partnership are represented by Common Units that entitle the holders thereof to the rights and privileges specified in the Partnership Agreement. The Partnership’s Common Units are registered under the Securities Exchange Act of 1934 (as amended) and are listed for trading on the NYSE. Each holder of a Common Unit is entitled to one vote per unit on all matters presented to the Limited Partners for a vote. In addition, if at any time any person or group (other than the Partnership’s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the Partnership Agreement. The Common Units are entitled to distributions of Available Cash as described at “Quarterly Distributions of Available Cash.”</w:t>
      </w:r>
    </w:p>
    <w:p>
      <w:pPr>
        <w:spacing w:after="0" w:line="137"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Partnership Agreement contains specific provisions for the allocation of net earnings and losses to the partners for purposes of maintaining the partner capital accounts. For any fiscal year that the Partnership has net profits, such net profits are first allocated to the General Partner (which currently holds an approximately 0.1% general partner interest) until the aggregate amount of net profits for the current and all prior fiscal years equals the aggregate amount of net losses allocated to the General Partner for the current and all prior fiscal years. Second, such net profits shall be allocated to the Limited Partners pro rata in accordance with their respective sharing ratios. For any fiscal year in which the Partnership has net losses, such net losses shall be first allocated to the Limited Partners in proportion to their respective adjusted capital account balances, as defined by the Partnership Agreement, (before taking into account such net losses) until their adjusted capital account balances have been reduced to zero. Second, all remaining net losses shall be allocated to the General Partner. The General Partner may distribute to the Limited Partners funds of the Partnership that the General Partner reasonably determines are not needed for the payment of existing or foreseeable Partnership obligations and expenditures.</w:t>
      </w:r>
    </w:p>
    <w:p>
      <w:pPr>
        <w:spacing w:after="0" w:line="13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Common Units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Energy Transfer Common Units during the years ended December 31, 2022, 2021 and 2020 was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52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Units, beginning of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w:t>
            </w:r>
          </w:p>
        </w:tc>
      </w:tr>
      <w:tr>
        <w:trPr>
          <w:trHeight w:val="230"/>
        </w:trPr>
        <w:tc>
          <w:tcPr>
            <w:tcW w:w="5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Common Units issued in mergers and acquisitions </w:t>
            </w:r>
            <w:r>
              <w:rPr>
                <w:rFonts w:ascii="Times New Roman" w:cs="Times New Roman" w:eastAsia="Times New Roman" w:hAnsi="Times New Roman"/>
                <w:sz w:val="23"/>
                <w:szCs w:val="23"/>
                <w:color w:val="auto"/>
                <w:vertAlign w:val="superscript"/>
              </w:rPr>
              <w:t>(1)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repurchased</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Units </w:t>
            </w:r>
            <w:r>
              <w:rPr>
                <w:rFonts w:ascii="Times New Roman" w:cs="Times New Roman" w:eastAsia="Times New Roman" w:hAnsi="Times New Roman"/>
                <w:sz w:val="23"/>
                <w:szCs w:val="23"/>
                <w:color w:val="auto"/>
                <w:vertAlign w:val="superscript"/>
              </w:rPr>
              <w:t>(2)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Units,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December 2021, Energy Transfer issued 374.6 million Energy Transfer Common Units in connection with the Enable Acquisition.</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31" w:lineRule="auto"/>
        <w:tabs>
          <w:tab w:leader="none" w:pos="64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common units issued in connection with the distribution reinvestment program and restricted unit vestings.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Class A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 of February 10, 2023, the Partnership had outstanding 765,933,429 Class A units (“Energy Transfer Class A Units”) representing limited partner interests in the Partnership to the General Partner. The Energy Transfer Class A Units are entitled to vote together with the Partnership’s common units, as a single class, except as required by law. Additionally, Energy Transfer’s Partnership Agreement provides that, under certain circumstances, upon the issuance by the Partnership of additional common units or any securities that have voting rights that are pari passu with the Partnership common units, the Partnership will issue to any holder of Energy Transfer Class A Units additional Energy Transfer Class A Units such that the holder maintains a voting interest in the Partnership that is identical to its voting interest in the Partnership prior to such issuance. The Energy Transfer Class A Units are not entitled to distributions and otherwise have no economic attributes.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Repurchase Program</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February 2015, the Partnership announced a common unit repurchase program, whereby the Partnership may repurchase up to $2 billion of Energy Transfer Common Units in the open market at the Partnership’s discretion, subject to market conditions and other factors, and in accordance with applicable regulatory requirements. The Partnership did not repurchase any Energy Transfer Common Units under this program in 2022 and repurchased 4.2 million in 2021. As of December 31, 2022, $880 million remained available to repurchase under the current program.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Distribution Reinvestment Program</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distributions of $61 million were reinvested under the distribution reinvestment program. As of December 31, 2022, a total of 12 million common units remain available to be issued under the existing registration statement in connection with the distribution reinvestment program.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Preferred Units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2022, Energy Transfer’s outstanding preferred units included 950,000 Series A Preferred Units, 550,000 Series B Preferred Units, 18,000,000 Series C Preferred Units, 17,800,000 Series D Preferred Units, 32,000,000 Series E Preferred Units, 500,000 Series F Preferred Units, 1,484,780 Series G Preferred Units and 900,000 Series H Preferred Units.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changes in the Energy Transfer Preferred Units: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Preferred Unitholders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A</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B</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C</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D</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E</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F</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G</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Series H</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units conversion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issued for cash</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195"/>
        </w:trPr>
        <w:tc>
          <w:tcPr>
            <w:tcW w:w="2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issued in Enable Acquisition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5"/>
        </w:trPr>
        <w:tc>
          <w:tcPr>
            <w:tcW w:w="2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A Preferred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Distributions on the Energy Transfer Series A Preferred Units will accrue and be cumulative from and including the date of original issue to, but excluding, February 15, 2023, at a rate of 6.250% per annum of the stated liquidation preference of $1,000. On and after February 15, 2023, distributions on the Energy Transfer Series A Preferred Units will accumulate at a percentage of the $1,000 liquidation preference equal to an annual floating rate of the three-month LIBOR, or a successor rate, in each case determined quarterly by our calculation agent, plus a spread of 4.028% per annum. The Energy Transfer Series A Preferred Units are redeemable at Energy Transfer’s option on or after February 15, 2023 at a redemption price of $1,000 per Energy Transfer Series A Preferred Unit, plus an amount equal to all accumulated and unpaid distributions thereon to, but excluding, the date of redemption.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B Preferred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Distributions on the Energy Transfer Series B Preferred Units will accrue and be cumulative from and including the date of original issue to, but excluding, February 15, 2028, at a rate of 6.625% per annum of the stated liquidation preference of $1,000. On and after February 15, 2028, distributions on the Energy Transfer Series B Preferred Units will accumulate at a percentage of the $1,000 liquidation preference equal to an annual floating rate of the three-month LIBOR, or a successor rate, in each case determined quarterly by our calculation agent, plus a spread of 4.155% per annum. The Energy Transfer Series B Preferred Units are redeemable at Energy Transfer’s option on or after February 15, 2028 at a redemption price of $1,000 per Energy Transfer Series B Preferred Unit, plus an amount equal to all accumulated and unpaid distributions thereon to, but excluding, the date of redemption.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C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Energy Transfer Series C Preferred Units will accrue and be cumulative from and including the date of original issue to, but excluding, May 15, 2023, at a rate of 7.375% per annum of the stated liquidation preference of $25. On and after May 15, 2023, distributions on the Energy Transfer Series C Preferred Units will accumulate at a percentage of the $25 liquidation preference equal to an annual floating rate of the three-month LIBOR, or a successor rate, in each case determined quarterly by our calculation agent, plus a spread of 4.530% per annum. The Energy Transfer Series C Preferred Units are redeemable at Energy Transfer’s option on or after May 15, 2023 at a redemption price of $25 per Energy Transfer Series C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D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Energy Transfer Series D Preferred Units will accrue and be cumulative from and including the date of original issue to, but excluding, August 15, 2023, at a rate of 7.625% per annum of the stated liquidation preference of $25. On and after August 15, 2023, distributions on the Energy Transfer Series D Preferred Units will accumulate at a percentage of the $25 liquidation preference equal to an annual floating rate of the three-month LIBOR, or a successor rate, in each case determined quarterly by our calculation agent, plus a spread of 4.738% per annum. The Energy Transfer Series D Preferred Units are redeemable at Energy Transfer’s option on or after August 15, 2023 at a redemption price of $25 per Energy Transfer Series D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E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Energy Transfer Series E Preferred Units will accrue and be cumulative from and including the date of original issue to, but excluding, May 15, 2024, at a rate of 7.600% per annum of the stated liquidation preference of $25. On and after May 15, 2024, distributions on the Energy Transfer Series E Preferred Units will accumulate at a percentage of the $25 liquidation preference equal to an annual floating rate of the three-month LIBOR, or a successor rate, in each case determined quarterly by our calculation agent, plus a spread of 5.161% per annum. The Energy Transfer Series E Preferred Units are redeemable at Energy Transfer’s option on or after May 15, 2024 at a redemption price of $25 per Energy Transfer Series E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F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Series F Preferred Units are cumulative from and including the original issue date and will be payable semi-annually in arrears on the 15th day of May and November of each year, commencing on May 15, 2020 to, but excluding, May 15, 2025, at a rate equal to 6.750% per annum of the $1,000 liquidation preference. On and after May 15, 2025, the distribution rate on the Energy Transfer Series F Preferred Units will equal a percentage of the $1,000 liquidation preference equal to the five-year U.S. treasury rate plus a spread of 5.134% per annum. The Energy Transfer Series F Preferred Units are redeemable at Energy Transfer’s option on or after May 15, 2025 at a redemption price of $1,000 per Energy Transfer Series F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G Preferred Units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Distributions on the Energy Transfer Series G Preferred Units are cumulative from and including the original issue date and will be payable semi-annually in arrears on the 15th day of May and November of each year, commencing on May 15, 2020 to, but excluding, May 15, 2030, at a rate equal to 7.125% per annum of the $1,000 liquidation preference. On and after May 15, 2030, the distribution rate on the Energy Transfer Series G Preferred Units will equal a percentage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$1,000 liquidation preference equal to the five-year U.S. treasury rate plus a spread of 5.306% per annum. The Energy Transfer Series G Preferred Units are redeemable at Energy Transfer’s option on or after May 15, 2030 at a redemption price of $1,000 per Energy Transfer Series G Preferred Unit, plus an amount equal to all accumulated and unpaid distributions thereon to, but excluding, the date of redemption. On December 2, 2021, Energy Transfer issued 384,780 Energy Transfer Series G Preferred Units in connection with the Enable Acquisition, as discussed in Note 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Series H Preferred Units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15, 2021, Energy Transfer issued 900,000 of its 6.500% Series H Preferred Units at a price to the public of $1,000 per unit. Distributions on the Series H Preferred Units will accrue and be cumulative to, but excluding, November 15, 2026, at a rate equal to 6.500% per annum of the $1,000 liquidation preference. On and after November 15, 2026 and each fifth anniversary thereafter, the distribution rate on the Series H Preferred Units will reset to be a percentage of the $1,000 liquidation preference equal to the five-year U.S. treasury rate plus a spread of 5.694% per annum. Distributions on the Series H Preferred Units will be payable semi-annually in arrears on the 15th day of May and November of each year. The Series H Preferred Units are redeemable at Energy Transfer’s option during the three-month period prior to, and including, each distribution reset date at a redemption price of $1,000 per Series H Preferred Unit, plus an amount equal to all accumulated and unpaid distributions thereon to, but excluding, the date of redemption.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 of Common Units by Subsidiaries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Energy Transfer on a stand-alone basis (the “Parent Company”) accounts for the difference between the carrying amount of its investment in subsidiaries and the underlying book value arising from issuance of units by subsidiaries (excluding unit issuances to the Parent Company) as a capital transaction. If a subsidiary issues units at a price less than the Parent Company’s carrying value per unit, the Parent Company assesses whether the investment has been impaired, in which case a provision would be reflected in our statement of operations. The Parent Company did not recognize any impairment related to the issuances of subsidiary common units during the periods presented.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Subsidiary Equity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Distribution Reinvestment Program</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USAC issued 124,255, 118,399 and 188,695 USAC common units, respectively, under the USAC distribution reinvestment program.</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Warrants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2022, USAC issued 534,308 of its common units in connection with the exercise of outstanding warrants.</w:t>
      </w:r>
    </w:p>
    <w:p>
      <w:pPr>
        <w:spacing w:after="0" w:line="171"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one tranche of USAC Warrants with the right to purchase 10,000,000 common units at a strike price of $19.59 per common unit was outstanding and may be exercised by the holders at any time before April 2, 2028.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Energy Transfer Common Unit Distributions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distribution policy is consistent with the terms of our Partnership Agreement, which requires that we distribute all of our available cash quarterly.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distributions declared and paid with respect to our common units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Quarter Ended</w:t>
            </w:r>
          </w:p>
        </w:tc>
        <w:tc>
          <w:tcPr>
            <w:tcW w:w="2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Record Date</w:t>
            </w:r>
          </w:p>
        </w:tc>
        <w:tc>
          <w:tcPr>
            <w:tcW w:w="2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Payment Date</w:t>
            </w:r>
          </w:p>
        </w:tc>
        <w:tc>
          <w:tcPr>
            <w:tcW w:w="52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2020</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2020</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2020</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0.3050</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7, 2020</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2020</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2020</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2020</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2021</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2021</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11, 2021</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2021</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2021</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2021</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2022</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0.2000</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0.2300</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21, 2022</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Energy Transfer Preferred Unit Distributions</w:t>
      </w:r>
    </w:p>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Distributions on Energy Transfer’s Series A, Series B, Series C, Series D, Series E, Series F, Series G and Series H preferred units declared and/or paid by Energy Transfer were as follows: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 Ended</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Record Date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Date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Series A </w:t>
            </w:r>
            <w:r>
              <w:rPr>
                <w:rFonts w:ascii="Times New Roman" w:cs="Times New Roman" w:eastAsia="Times New Roman" w:hAnsi="Times New Roman"/>
                <w:sz w:val="18"/>
                <w:szCs w:val="18"/>
                <w:color w:val="auto"/>
                <w:vertAlign w:val="superscript"/>
              </w:rPr>
              <w:t>(1)</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8"/>
                <w:szCs w:val="18"/>
                <w:color w:val="auto"/>
                <w:vertAlign w:val="superscript"/>
              </w:rPr>
              <w:t>(1)</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D</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E</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Series F </w:t>
            </w:r>
            <w:r>
              <w:rPr>
                <w:rFonts w:ascii="Times New Roman" w:cs="Times New Roman" w:eastAsia="Times New Roman" w:hAnsi="Times New Roman"/>
                <w:sz w:val="18"/>
                <w:szCs w:val="18"/>
                <w:color w:val="auto"/>
                <w:vertAlign w:val="superscript"/>
              </w:rPr>
              <w:t>(1)</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Series G </w:t>
            </w:r>
            <w:r>
              <w:rPr>
                <w:rFonts w:ascii="Times New Roman" w:cs="Times New Roman" w:eastAsia="Times New Roman" w:hAnsi="Times New Roman"/>
                <w:sz w:val="18"/>
                <w:szCs w:val="18"/>
                <w:color w:val="auto"/>
                <w:vertAlign w:val="superscript"/>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 xml:space="preserve">Series H </w:t>
            </w:r>
            <w:r>
              <w:rPr>
                <w:rFonts w:ascii="Times New Roman" w:cs="Times New Roman" w:eastAsia="Times New Roman" w:hAnsi="Times New Roman"/>
                <w:sz w:val="18"/>
                <w:szCs w:val="18"/>
                <w:color w:val="auto"/>
                <w:w w:val="97"/>
                <w:vertAlign w:val="superscript"/>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2021</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3, 2021</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17, 2021</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2, 2021</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11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November 1,</w:t>
            </w:r>
          </w:p>
        </w:tc>
        <w:tc>
          <w:tcPr>
            <w:tcW w:w="11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November 15,</w:t>
            </w:r>
          </w:p>
        </w:tc>
        <w:tc>
          <w:tcPr>
            <w:tcW w:w="9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27.08</w:t>
            </w: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February 1,</w:t>
            </w: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February 15,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16, 2022</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2022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15,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11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November 1,</w:t>
            </w:r>
          </w:p>
        </w:tc>
        <w:tc>
          <w:tcPr>
            <w:tcW w:w="11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November 15,</w:t>
            </w:r>
          </w:p>
        </w:tc>
        <w:tc>
          <w:tcPr>
            <w:tcW w:w="9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February 1,</w:t>
            </w: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February 15,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0.4609</w:t>
            </w:r>
          </w:p>
        </w:tc>
        <w:tc>
          <w:tcPr>
            <w:tcW w:w="1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0.4766</w:t>
            </w:r>
          </w:p>
        </w:tc>
        <w:tc>
          <w:tcPr>
            <w:tcW w:w="12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0.4750</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00" w:hanging="168"/>
        <w:spacing w:after="0"/>
        <w:tabs>
          <w:tab w:leader="none" w:pos="500" w:val="left"/>
        </w:tabs>
        <w:numPr>
          <w:ilvl w:val="0"/>
          <w:numId w:val="1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prorated initial distribution.</w:t>
      </w:r>
    </w:p>
    <w:p>
      <w:pPr>
        <w:spacing w:after="0" w:line="90" w:lineRule="exact"/>
        <w:rPr>
          <w:sz w:val="20"/>
          <w:szCs w:val="20"/>
          <w:color w:val="auto"/>
        </w:rPr>
      </w:pPr>
    </w:p>
    <w:p>
      <w:pPr>
        <w:ind w:left="660" w:hanging="328"/>
        <w:spacing w:after="0" w:line="229" w:lineRule="auto"/>
        <w:tabs>
          <w:tab w:leader="none" w:pos="602" w:val="left"/>
        </w:tabs>
        <w:numPr>
          <w:ilvl w:val="0"/>
          <w:numId w:val="1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Series A, Series B, Series F, Series G and Series H distributions are currently paid on a semi-annual basis. Pursuant to their terms, distributions on the Series A and Series B preferred units will be paid quarterly beginning after February 15, 2023 and February 15, 2028, respectively</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Sunoco LP Cash Distributions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28.5 million Sunoco LP common units and all of Sunoco LP’s incentive distribution rights. As of December 31, 2022, Sunoco LP had approximately 84.1 million common units outstanding.</w:t>
      </w:r>
    </w:p>
    <w:p>
      <w:pPr>
        <w:spacing w:after="0" w:line="10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target amount.” The percentage interests shown for common unitholders and IDR holder for the minimum quarterly distribution are also applicable to quarterly distribution amounts that are less than the minimum quarterly distribution.</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Marginal Percentage Interest in</w:t>
            </w:r>
          </w:p>
        </w:tc>
      </w:tr>
      <w:tr>
        <w:trPr>
          <w:trHeight w:val="239"/>
        </w:trPr>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Distributions</w:t>
            </w:r>
          </w:p>
        </w:tc>
      </w:tr>
      <w:tr>
        <w:trPr>
          <w:trHeight w:val="173"/>
        </w:trPr>
        <w:tc>
          <w:tcPr>
            <w:tcW w:w="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center"/>
              <w:ind w:right="270"/>
              <w:spacing w:after="0" w:line="173" w:lineRule="exact"/>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9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Total Quarterly Distribution Target Amount</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Unitholders</w:t>
            </w:r>
          </w:p>
        </w:tc>
        <w:tc>
          <w:tcPr>
            <w:tcW w:w="100" w:type="dxa"/>
            <w:vAlign w:val="bottom"/>
          </w:tcPr>
          <w:p>
            <w:pPr>
              <w:spacing w:after="0"/>
              <w:rPr>
                <w:sz w:val="21"/>
                <w:szCs w:val="2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Holder of IDRs</w:t>
            </w:r>
          </w:p>
        </w:tc>
      </w:tr>
      <w:tr>
        <w:trPr>
          <w:trHeight w:val="223"/>
        </w:trPr>
        <w:tc>
          <w:tcPr>
            <w:tcW w:w="40" w:type="dxa"/>
            <w:vAlign w:val="bottom"/>
          </w:tcPr>
          <w:p>
            <w:pPr>
              <w:spacing w:after="0"/>
              <w:rPr>
                <w:sz w:val="19"/>
                <w:szCs w:val="19"/>
                <w:color w:val="auto"/>
              </w:rPr>
            </w:pPr>
          </w:p>
        </w:tc>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7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820" w:type="dxa"/>
            <w:vAlign w:val="bottom"/>
            <w:tcBorders>
              <w:top w:val="single" w:sz="8" w:color="auto"/>
            </w:tcBorders>
            <w:gridSpan w:val="3"/>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w w:val="99"/>
              </w:rPr>
              <w:t>$0.4375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2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color w:val="auto"/>
                <w:w w:val="99"/>
              </w:rPr>
              <w:t>$0.4375 to $0.503125</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920" w:type="dxa"/>
            <w:vAlign w:val="bottom"/>
            <w:gridSpan w:val="4"/>
            <w:shd w:val="clear" w:color="auto" w:fill="CCEEFF"/>
          </w:tcPr>
          <w:p>
            <w:pPr>
              <w:jc w:val="center"/>
              <w:ind w:right="1120"/>
              <w:spacing w:after="0"/>
              <w:rPr>
                <w:sz w:val="20"/>
                <w:szCs w:val="20"/>
                <w:color w:val="auto"/>
              </w:rPr>
            </w:pPr>
            <w:r>
              <w:rPr>
                <w:rFonts w:ascii="Times New Roman" w:cs="Times New Roman" w:eastAsia="Times New Roman" w:hAnsi="Times New Roman"/>
                <w:sz w:val="18"/>
                <w:szCs w:val="18"/>
                <w:color w:val="auto"/>
                <w:w w:val="99"/>
              </w:rPr>
              <w:t>$0.503125 to $0.546875</w:t>
            </w:r>
          </w:p>
        </w:tc>
        <w:tc>
          <w:tcPr>
            <w:tcW w:w="1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4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Target Distribution</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2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w w:val="99"/>
              </w:rPr>
              <w:t>$0.546875 to $0.656250</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920" w:type="dxa"/>
            <w:vAlign w:val="bottom"/>
            <w:gridSpan w:val="4"/>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rPr>
              <w:t>Above $0.656250</w:t>
            </w:r>
          </w:p>
        </w:tc>
        <w:tc>
          <w:tcPr>
            <w:tcW w:w="1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4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r>
      <w:tr>
        <w:trPr>
          <w:trHeight w:val="473"/>
        </w:trPr>
        <w:tc>
          <w:tcPr>
            <w:tcW w:w="7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Distributions on Sunoco LP’s units declared and/or paid by Sunoco LP were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29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Quarter Ended</w:t>
            </w:r>
          </w:p>
        </w:tc>
        <w:tc>
          <w:tcPr>
            <w:tcW w:w="7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Payment Date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40" w:type="dxa"/>
            <w:vAlign w:val="bottom"/>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2020</w:t>
            </w: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7, 2020</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2021</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11, 2021</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2022</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18, 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Pr>
          <w:p>
            <w:pPr>
              <w:spacing w:after="0"/>
              <w:rPr>
                <w:sz w:val="19"/>
                <w:szCs w:val="19"/>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USAC Cash Distributions</w:t>
      </w:r>
    </w:p>
    <w:p>
      <w:pPr>
        <w:spacing w:after="0" w:line="17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46.1 million USAC common units. As of December 31, 2022, USAC had approximately 98.2 million common units outstanding. USAC currently has a non-economic general partner interest and no outstanding IDRs.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on USAC’s units declared and/or paid by USAC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9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Quarter Ended</w:t>
            </w:r>
          </w:p>
        </w:tc>
        <w:tc>
          <w:tcPr>
            <w:tcW w:w="1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Record Date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Payment Date</w:t>
            </w:r>
          </w:p>
        </w:tc>
        <w:tc>
          <w:tcPr>
            <w:tcW w:w="580" w:type="dxa"/>
            <w:vAlign w:val="bottom"/>
          </w:tcPr>
          <w:p>
            <w:pPr>
              <w:spacing w:after="0"/>
              <w:rPr>
                <w:sz w:val="20"/>
                <w:szCs w:val="20"/>
                <w:color w:val="auto"/>
              </w:rPr>
            </w:pPr>
          </w:p>
        </w:tc>
        <w:tc>
          <w:tcPr>
            <w:tcW w:w="2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40" w:type="dxa"/>
            <w:vAlign w:val="bottom"/>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27, 2020</w:t>
            </w: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27,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10,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26,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5, 2021</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2021</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26, 2021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6, 2021</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2021</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2022</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6, 2022</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2022</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5, 2022</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24, 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2023</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2023</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40" w:type="dxa"/>
            <w:vAlign w:val="bottom"/>
          </w:tcPr>
          <w:p>
            <w:pPr>
              <w:spacing w:after="0"/>
              <w:rPr>
                <w:sz w:val="19"/>
                <w:szCs w:val="19"/>
                <w:color w:val="auto"/>
              </w:rPr>
            </w:pPr>
          </w:p>
        </w:tc>
      </w:tr>
      <w:tr>
        <w:trPr>
          <w:trHeight w:val="864"/>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 - 38</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AOCI, net of tax:</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7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 related to pensions and other postretirement benefits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AOCI, net of tax</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AOCI included in partners’ capital, net of tax</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tax amounts included in the respective components of other comprehensive income: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5"/>
              </w:rPr>
              <w:t>(1)</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88"/>
              </w:rPr>
              <w:t>6</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 relating to pension and other postretirement benefits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INCENTIVE PLANS: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Sunoco LP and USAC, have issued equity incentive plans for employees, officers and directors, which provide for various types of awards, including options to purchase Common Units, restricted units, phantom units, distribution equivalent rights (“DERs”), common unit appreciation rights, cash restricted units and other equity-based compensation awards. As of December 31, 2022, an aggregate total of 3.6 million Energy Transfer Common Units remain available to be awarded under our equity incentive plans.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Energy Transfer Long-Term Incentive Plan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granted restricted unit awards to employees that vest over a specified time period, typically a five-year service vesting requirement, with vesting based on continued employment as of each applicable vesting date. Upon vesting, Energy Transfer Common Units are issued. These unit awards entitle the recipients of the unit awards to receive, with respect to each Common Unit subject to such award that has not either vested or been forfeited, a cash payment equal to each cash distribution per Common Unit made by us on our Common Units promptly following each such distribution by us to our Unitholders. We refer to these rights as “distribution equivalent rights.” Under our equity incentive plans, our non-employee directors each receive grants with a five-year service vesting requirement.</w:t>
      </w:r>
    </w:p>
    <w:p>
      <w:pPr>
        <w:spacing w:after="0" w:line="1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activity of the awards granted to employees and non-employee directors: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Weighted Average Grant-</w:t>
            </w:r>
          </w:p>
        </w:tc>
      </w:tr>
      <w:tr>
        <w:trPr>
          <w:trHeight w:val="234"/>
        </w:trPr>
        <w:tc>
          <w:tcPr>
            <w:tcW w:w="61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9"/>
              </w:rPr>
              <w:t>Number of Units</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Date Fair Value Per Unit</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2021</w:t>
            </w: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 granted</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30"/>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forfeited</w:t>
            </w:r>
          </w:p>
        </w:tc>
        <w:tc>
          <w:tcPr>
            <w:tcW w:w="1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2022</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the weighted average grant-date fair value per unit award granted was $11.56, $8.46 and $6.29, respectively, and the total fair value of awards vested was $103 million, $52 million and $51 million, respectively, based on the market price of the respective Common Units as of the vesting date. As of December 31, 2022, a total of 37.7 million unit awards remain unvested, for which Energy Transfer expects to recognize a total of $248 million in compensation expense over a weighted average period of 3.09 years.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Restricted Units. </w:t>
      </w:r>
      <w:r>
        <w:rPr>
          <w:rFonts w:ascii="Times New Roman" w:cs="Times New Roman" w:eastAsia="Times New Roman" w:hAnsi="Times New Roman"/>
          <w:sz w:val="18"/>
          <w:szCs w:val="18"/>
          <w:color w:val="auto"/>
        </w:rPr>
        <w:t>The Partnership has also granted cash restricted units, which vest through three years of service. A cash restricted unit entitles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recipient to receive cash equal to the market value of one Energy Transfer Common Unit upon vesting. For the years ended December 31, 2022, 2021 and 2020, the Partnership granted a total of 3.8 million, 3.9 million and 7.7 million cash restricted units, respectively. As of December 31, 2022, a total of 8.5 million cash restricted units were unvested. As of December 31, 2022, the Partnership’s consolidated balance sheet reflected aggregate liabilities of $4.2 million related to cash restricted units.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Subsidiary Long-Term Incentive Plans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 discretion of the respective subsidiary’s compensation committee, the grantee may instead receive an amount of cash equivalent to the value of common units upon vesting. Substantially all of the Subsidiary Unit Awards are time-vested grants, which 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the Subsidiary Unit Awards: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0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Sunoco LP</w:t>
            </w:r>
          </w:p>
        </w:tc>
        <w:tc>
          <w:tcPr>
            <w:tcW w:w="290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USAC</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Grant-Date Fair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Grant-Date Fair</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7"/>
              </w:rPr>
              <w:t>Value</w:t>
            </w: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 Unit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Per Unit</w:t>
            </w:r>
          </w:p>
        </w:tc>
        <w:tc>
          <w:tcPr>
            <w:tcW w:w="0" w:type="dxa"/>
            <w:vAlign w:val="bottom"/>
          </w:tcPr>
          <w:p>
            <w:pPr>
              <w:spacing w:after="0"/>
              <w:rPr>
                <w:sz w:val="1"/>
                <w:szCs w:val="1"/>
                <w:color w:val="auto"/>
              </w:rPr>
            </w:pPr>
          </w:p>
        </w:tc>
      </w:tr>
      <w:tr>
        <w:trPr>
          <w:trHeight w:val="227"/>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2021</w:t>
            </w:r>
          </w:p>
        </w:tc>
        <w:tc>
          <w:tcPr>
            <w:tcW w:w="138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w:t>
            </w:r>
          </w:p>
        </w:tc>
        <w:tc>
          <w:tcPr>
            <w:tcW w:w="1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Pr>
          <w:p>
            <w:pPr>
              <w:spacing w:after="0"/>
              <w:rPr>
                <w:sz w:val="19"/>
                <w:szCs w:val="19"/>
                <w:color w:val="auto"/>
              </w:rPr>
            </w:pPr>
          </w:p>
        </w:tc>
        <w:tc>
          <w:tcPr>
            <w:tcW w:w="1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w:t>
            </w: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forfeited</w:t>
            </w:r>
          </w:p>
        </w:tc>
        <w:tc>
          <w:tcPr>
            <w:tcW w:w="13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2022</w:t>
            </w: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grant-date fair value per unit award granted: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Sunoco LP</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USAC</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22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total fair value of Subsidiary Unit Awards vested for the years ended December 31, 2022, 2021 and 2020 was $26 million, $24 million, and $16 million, respectively, based on the market price of Sunoco LP and USAC common units as of the vesting date. As of December 31, 2022, estimated compensation cost related to Subsidiary Unit Awards not yet recognized was $42 million, and the weighted average period over which this cost is expected to be recognized in expense is 3.2 years.</w:t>
      </w:r>
    </w:p>
    <w:p>
      <w:pPr>
        <w:spacing w:after="0" w:line="122"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federal and state income tax expense (benefit) of our taxable subsidiaries are summarized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 at the United States statutory rate to the Partnership’s income tax benefit for the years ended December 31, 2022, 2021 and 2020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r>
      <w:tr>
        <w:trPr>
          <w:trHeight w:val="372"/>
        </w:trPr>
        <w:tc>
          <w:tcPr>
            <w:tcW w:w="340" w:type="dxa"/>
            <w:vAlign w:val="bottom"/>
          </w:tcPr>
          <w:p>
            <w:pPr>
              <w:spacing w:after="0"/>
              <w:rPr>
                <w:sz w:val="24"/>
                <w:szCs w:val="24"/>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United States statutory rate</w:t>
            </w:r>
          </w:p>
        </w:tc>
        <w:tc>
          <w:tcPr>
            <w:tcW w:w="2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earnings not subject to tax</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rate change</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received deduction</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44"/>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 - 41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taxes result from the temporary differences between financial reporting carrying amounts and the tax basis of existing assets and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principal components of the deferred tax assets (liabilities)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 and other carryforwards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of December 31, 2022, ETP Holdco had a federal net operating loss carryforward of $2.4 billion, of which $645 million will expire in 2036 through 2037 while the remaining can be carried forward indefinitely. A total of $341 million of the federal net operating loss carryforward is limited under IRC §382. Although we expect to fully utilize the IRC §382 limited federal net operating loss, the amount utilized in a particular year may be limited. As of December 31, 2022, Sunoco Retail LLC, a corporate subsidiary of Sunoco LP, had a state net operating loss carryforward of $84 million, which we expect to fully utilize. Sunoco Retail LLC has no federal net operating loss carryforward.</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Our corporate subsidiaries have state net operating loss carryforward benefits of $82 million, net of federal tax, some of which expire between 2023 and 2041, while others are carried forward indefinitely. Our corporate subsidiaries have cumulative excess business interest expense of $169 million available for carryforward indefinitely, of which $41 million is limited under IRC §382. A valuation allowance of $3 million is applicable to the state net operating loss carryforward benefits primarily attributable to significant restrictions on their use in the Commonwealth of Pennsylvania. A separate valuation allowance of $15 million is attributable to foreign tax credits.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changes in unrecognized tax benefits:</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5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attributable to tax positions taken in prior years</w:t>
            </w:r>
          </w:p>
        </w:tc>
        <w:tc>
          <w:tcPr>
            <w:tcW w:w="108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Lapse of statute</w:t>
            </w: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5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2022, we had $52 million ($48 million after federal income tax benefits) related to tax positions which, if recognized, would impact our effective tax rate.</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policy is to accrue interest expense and penalties on income tax underpayments (overpayments) as a component of income tax expense. During 2022, we recognized interest and penalties of less than $2 million. At December 31, 2022, we have interest and penalties accrued of $18 million, net of tax.</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Nextel subsequently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filed a petition for writ of certiorari with the United States Supreme Court, and this was denied on June 11, 2018. Certain Pennsylvania taxpayers have subsequently undertaken litigation in Pennsylvania state courts on issues not addressed by the Pennsylvania Supreme Court in Nextel, specifically, whether the Due Process and Equal Protection Clauses of the United States Constitution and the Remedies Clause of the Pennsylvania Constitution require a court to grant the taxpayer relief. On December 22, 2021, the Pennsylvania Supreme Court found in General Motors Corporation v. Commonwealth (“GM”) that the taxpayer was entitled to meaningful backwards looking relief under the Due Process Clause, meaning the Commonwealth must equalize the taxpayer’s position with taxpayers who were not affected by the NOL cap in place for the year at issue. The Court therefore held the taxpayer was entitled to a refund by calculating its tax for that year with an uncapped NOL deduction. We believe the Pennsylvania Supreme Court’s ruling in GM will more likely than not be upheld if challenged by the Commonwealth. ETC Sunoco previously recognized approximately $67 million ($53 million after federal income tax benefits) in tax benefit based on previously filed tax returns and certain previously filed protective claims as relates to its cases currently held pending the Nextel matter. In addition, based upon the Pennsylvania Supreme Court’s October 2017 decision, and because of uncertainty in the breadth of the application of the decision, ETC Sunoco previously reserved $34 million ($27 million after federal income tax benefits) against the receivable. Subsequent to the Pennsylvania Supreme Court’s decision in GM, the reserve has been reversed and the entire tax benefit of $34 million ($27 million after federal income tax benefit) has been recognized by the Partnership.</w:t>
      </w:r>
    </w:p>
    <w:p>
      <w:pPr>
        <w:spacing w:after="0" w:line="1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Partnership’s 2020 U.S. Federal income tax return is currently under examination by the Internal Revenue Service. In general, Energy Transfer and its subsidiaries are no longer subject to examination by the IRS, and most state jurisdictions, for the 2017 and prior tax years.</w:t>
      </w:r>
    </w:p>
    <w:p>
      <w:pPr>
        <w:spacing w:after="0" w:line="108"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USAC is currently under examination by the IRS for years 2019 and 2020. Energy Transfer and its other subsidiaries also have various state and local income tax returns in the process of examination or administrative appeal in various jurisdictions. We believe the appropriate accruals or unrecognized tax benefits have been recorded for any potential assessment with respect to these examinations.</w:t>
      </w:r>
    </w:p>
    <w:p>
      <w:pPr>
        <w:spacing w:after="0" w:line="118" w:lineRule="exact"/>
        <w:rPr>
          <w:sz w:val="20"/>
          <w:szCs w:val="20"/>
          <w:color w:val="auto"/>
        </w:rPr>
      </w:pPr>
    </w:p>
    <w:p>
      <w:pPr>
        <w:ind w:left="340" w:right="2260" w:hanging="332"/>
        <w:spacing w:after="0" w:line="440" w:lineRule="auto"/>
        <w:tabs>
          <w:tab w:leader="none" w:pos="32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REGULATORY MATTERS, COMMITMENTS, CONTINGENCIES AND ENVIRONMENTAL LIABILITIES: </w:t>
      </w:r>
      <w:r>
        <w:rPr>
          <w:rFonts w:ascii="Times New Roman" w:cs="Times New Roman" w:eastAsia="Times New Roman" w:hAnsi="Times New Roman"/>
          <w:sz w:val="18"/>
          <w:szCs w:val="18"/>
          <w:b w:val="1"/>
          <w:bCs w:val="1"/>
          <w:color w:val="auto"/>
        </w:rPr>
        <w:t>Winter Storm Impacts</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Winter Storm Uri, which occurred in February 2021, resulted in one-time impacts to the Partnership’s consolidated net income and also affected the results of operations in certain segments. The recognition of the impacts of Winter Storm Uri during 2021 required management to make certain estimates and assumptions, including estimates of expected credit losses and assumptions related to the resolution of disputes with counterparties with respect to certain purchases and sales of natural gas. The ultimate realization of credit losses and the resolution of disputed purchases and sales of natural gas could materially impact the Partnership’s financial condition and results of operations in future periods.</w:t>
      </w:r>
    </w:p>
    <w:p>
      <w:pPr>
        <w:spacing w:after="0" w:line="1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FERC Proceedings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Rover – FERC - Stoneman House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The hearing was set to commence on March 6, 2023.</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2022, Energy Transfer and Rover filed a Complaint for Declaratory Relief in the United States District Court for the Northern District of Texas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District Court ordered a stay of the FERC’s enforcement case and the District Court case pending the resolution of two cases pending before the United States Supreme Court. Arguments were heard in those cases on November 7, 2022. Energy Transfer and Rover intend to vigorously defend this claim.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Rover – FERC - Tuscarawas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In 2019, Enforcement Staff provided Rover with a notice pursuant to Section 1b.19 of the FERC regulations that Enforcement Staff intended to recommend that the FERC pursue an enforcement action against Rover and the Partnership. On December 16, 2021, FERC issued an Order to Show Cause and Notice of Proposed Penalty (Docket No. IN17-4-000), ordering Rover and Energy Transfer to show cause why they should not be found to have violated Section 7(e) of the Natural Gas Act, Section 157.20 of FERC’s regulations, and the Rover Pipeline Certificate Order, and assessed civil penalties of $40 million.</w:t>
      </w:r>
    </w:p>
    <w:p>
      <w:pPr>
        <w:spacing w:after="0" w:line="13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Rover and Energy Transfer filed their answer to this order on March 21, 2022, and Enforcement Staff filed a reply on April 20, 2022. Rover and Energy Transfer filed their surreply to this order on May 13, 2022. The primary contractor (and one of the subcontractors) responsible for the HDD operations of the Tuscarawas River site have agreed to indemnify Rover and the Partnership for any and all losses, including any fines and penalties from government agencies, resulting from their actions in conducting such HDD operations.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FERC Proceedings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By an order issued January 16, 2019, the FERC initiated a review of Panhandle’s existing rates pursuant to Section 5 of the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order of the Chief Judge on October 1, 2019. The initial decision by the administrative law judge was issued on March 26, 2021. On April 26, 2021, Panhandle filed its brief on exceptions to the initial decision. On May 17, 2021, Panhandle filed its brief opposing exceptions in this proceeding. On December 16, 2022, the FERC issued its order on Panhandle’s rate case. On January 17, 2023, Panhandle filed its request for rehearing in the proceeding.</w:t>
      </w:r>
    </w:p>
    <w:p>
      <w:pPr>
        <w:spacing w:after="0" w:line="1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July 1, 2022, Transwestern filed a rate case pursuant to Section 4 of the Natural Gas Act. By order dated September 9, 2022, a procedural schedule was adopted in this proceeding, setting the commencement of the hearing for June 22, 2023 with an initial decision anticipated by November 15, 2023. By a subsequent order dated February 14, 2023, the procedural schedule was suspended based on representations that the participants have reached an agreement in principle to resolve all issues in this proceeding and a settlement is being prepared for filing at FERC.</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May 2021, the FERC commenced an audit of SPLP for the period from January 1, 2018 to present to evaluate SPLP’s compliance with its FERC oil tariffs, the accounting requirements of the Uniform System of Accounts as prescribed by the FERC, and the FERC’s Form No. 6 reporting requirements. The audit is ongoing.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Energy Transfer purchases, processes and sells natural gas pursuant to long-term contracts and enters into long-term transportation and storage agreements. Such contracts contain terms that are customary in the industry. Energy Transfer believes that the terms of these agreements are commercially reasonable and will not have a material adverse effect on the Partnership’s financial position or results of operations.</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have certain non-cancelable rights-of-way (“ROW”) commitments, which require fixed payments and either expire upon our chosen abandonment or at various dates in the future. The following table reflects ROW expense included in operating expenses in the accompanying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ROW expense</w:t>
            </w:r>
          </w:p>
        </w:tc>
        <w:tc>
          <w:tcPr>
            <w:tcW w:w="2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Pr>
          <w:p>
            <w:pPr>
              <w:spacing w:after="0"/>
              <w:rPr>
                <w:sz w:val="19"/>
                <w:szCs w:val="19"/>
                <w:color w:val="auto"/>
              </w:rPr>
            </w:pPr>
          </w:p>
        </w:tc>
      </w:tr>
      <w:tr>
        <w:trPr>
          <w:trHeight w:val="864"/>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8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 - 44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and Contingencies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litigation and claims arising out of our operations in the normal course of business. Due to the flammable and combustible nature of natural gas and crude oil, the potential exists for personal injury and/or property damage to occur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3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or our subsidiaries are parties to various legal proceedings, arbitrations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As of December 31, 2022 and 2021, accruals of approximately $200 million and $144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$750 million.</w:t>
      </w:r>
    </w:p>
    <w:p>
      <w:pPr>
        <w:spacing w:after="0" w:line="13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12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following sections include descriptions of certain matters that could impact the Partnership’s financial position, results of operations and/or cash flows in future periods. The sections below also include updates to certain matters that have previously been disclosed, even if those matters are not anticipated to have a potentially significant impact on future periods. In addition to the matters disclosed below, the Partnership is also involved in multiple other matters that could impact future periods, including other lawsuits and arbitration related to the Partnership’s commercial agreements. With respect to such matters, contingencies that met both the probable and reasonably estimable criteria have been included in the accruals disclosed above, and the range of additional losses disclosed above also reflects any relevant amounts for such matters.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Dakota Access Pipeline</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July 27, 2016, the Standing Rock Sioux Tribe (“SRST”) filed a lawsuit in the United States District Court for the District of Columbia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District Court remanded the case back to the USACE for preparation of an Environment Impact Statement (“EIS”). On July 6, 2020, the District Court vacated the easement and ordered the Dakota Access Pipeline to be shut down and emptied of oil by August 5, 2020. Dakota Access and the USACE appealed to the United States Court of Appeals for the District of Columbia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 2) 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states that the Court of Appeals expected the USACE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clarify its position with respect to whether USACE intended to allow the continued operation of the pipeline notwithstanding the vacatur of the easement and that the District Court may consider additional relief, if necessary.</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USACE and Dakota Access filed briefs in opposition of the motion for injunction. The motion for injunction was fully briefed as of January 8, 2021.</w:t>
      </w:r>
    </w:p>
    <w:p>
      <w:pPr>
        <w:spacing w:after="0" w:line="13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 Dakota Access filed for rehearing en banc on April 12, 2021, which the Court of Appeals denied. On September 20, 2021, Dakota Access filed a petition with the U.S. Supreme Court to hear the case. Oppositions were filed by the Solicitor General (December 17, 2021) and the Tribes (December 16, 2021). Dakota Access filed their reply on January 4, 2022. On February 22, 2022, the U.S. Supreme Court declined to hear the case.</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On May 3, 2021, USACE advised the District Court that it had not changed its position with respect to its opposition to the Tribes’ motion for injunction. On May 21, 2021, the District Court denied the plaintiffs’ request for an injunction. On June 22, 2021, the District Court terminated the consolidated lawsuits and dismissed all remaining outstanding counts without prejudice.</w:t>
      </w:r>
    </w:p>
    <w:p>
      <w:pPr>
        <w:spacing w:after="0" w:line="1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pipeline continues to operate pending completion of the EIS. Energy Transfer anticipates the draft EIS will be completed and published by the USACE in the Spring of 2023, subject to additional delays by the USACE. The release of the draft EIS was paused following the SRST’s withdrawal as a cooperating agency on January 20, 2022. However, the pause has since been lifted and the USACE expects to release the draft EIS in the spring of 2023. Energy Transfer cannot determine when or how future lawsuits will be resolved or the impact they may have on the Bakken pipelines; however, Energy Transfer expects after the law and complete record are fully considered, any such proceeding will be resolved in a manner that will allow the pipeline to continue to operate.</w:t>
      </w:r>
    </w:p>
    <w:p>
      <w:pPr>
        <w:spacing w:after="0" w:line="1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Mont Belvieu Incident</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June 26, 2016, a hydrocarbon storage well located on another operator’s facility adjacent to Lone Star NGL Mont Belvieu LP’s (“Lone Star”), now known as Energy Transfer Mont Belvieu NGLs LP, facilities in Mont Belvieu, Texas experienced an over-pressurization resulting in a subsurface release. The subsurface release caused a fire at Lone Star’s South Terminal and damage to Lone Star’s storage well operations at its South and North Terminals. Normal operations resumed at the facilities in the fall of 2016, with the exception of one of Lone Star’s storage wells at the North Terminal that has not been returned to service. Lone Star has obtained payment for most of the losses it has submitted to the adjacent operator. Lone Star continues to quantify and seek reimbursement for outstanding losses.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MTBE Litigation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ETC Sunoco and Energy Transfer R&amp;M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2022, Sunoco Defendants are defendants in four cases, including one case initiated by the State of Maryland,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ETO, ETP Holdco, and Sunoco Partners Marketing &amp; Terminals L.P., now known as Energy Transfer Marketing &amp; Terminals L.P.</w:t>
      </w:r>
    </w:p>
    <w:p>
      <w:pPr>
        <w:spacing w:after="0" w:line="17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 Filed By or Against Williams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April and May 2016, The William Companies, Inc. (“Williams”) filed two lawsuits (the “Williams Litigation”) against Energy Transfer, LE GP, LLC, and, in one of the lawsuits, Energy Transfer Corp LP, ETE Corp GP, LLC, and Energy Transfer Equity GP, LLC (collectively, “Energy Transfer Defendants”), alleging that Energy Transfer Defendants breached their obligations under the Energy Transfer-Williams merger agreement (the “Merger Agreement”). In general, Williams alleges that Energy Transfer Defendants breached the Merger Agreement by (a) failing to use commercially reasonable efforts to obtain from Latham &amp; Watkins LLP (“Latham”) the delivery of a tax opinion concerning Section 721 of the Internal Revenue Code (“721 Opinion”), (b) issuing the Partnership’s Series A convertible preferred units (the “Issuance”), and (c) making allegedly untrue representations and warranties in the Merger Agreement.</w:t>
      </w:r>
    </w:p>
    <w:p>
      <w:pPr>
        <w:spacing w:after="0" w:line="13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After a two-day trial on June 20 and 21, 2016, the Court ruled in favor of Energy Transfer Defendants and issued a declaratory judgment that Energy Transfer could terminate the merger after June 28, 2016 because of Latham’s inability to provide the required 721 Opinion. The Court did not reach a decision regarding Williams’ claims related to the Issuance nor certain of the alleged untrue representations and warranties. On March 23, 2017, the Delaware Supreme Court affirmed the Court’s ruling on the June 2016 trial. In September 2016, the parties filed amended pleadings. Williams filed an amended complaint seeking a $410 million termination fee (the “Termination Fee”) based on the alleged breaches of the Merger Agreement listed above. Energy Transfer Defendants filed amended counterclaims and affirmative defenses, asserting that Williams materially breached the Merger Agreement by, among other things, (a) failing to use its reasonable best efforts to consummate the merger, (b) failing to provide material information to Energy Transfer for inclusion in the Form S-4 related to the merger, (c) failing to facilitate the financing of the merger, and (d) breaching the Merger Agreement’s forum-selection clause.</w:t>
      </w:r>
    </w:p>
    <w:p>
      <w:pPr>
        <w:spacing w:after="0" w:line="13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Trial was held regarding the parties’ amended claims on May 10-17, 2021, and on December 29, 2021, the Court ruled in favor of Williams and awarded it the Termination Fee plus certain fees and expenses, holding that the Issuance breached the Merger Agreement and that Williams had not materially breached the Merger Agreement, though the Court awarded sanctions against Williams due to its CEO’s intentional spoliation of evidence. The Court subsequently awarded Williams approximately $190 million in attorneys’ fees, expenses and pre-judgment interest.</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September 21, 2022, the Court entered a final judgment against the Energy Transfer Defendants in the amount of approximately $601 million plus post-judgment interest at a rate of 3.5% per year. The Energy Transfer Defendants filed the notice of appeal of this matter on October 21, 2022 and filed their opening brief in support of their appeal on December 30, 2022. Williams filed their answering brief on January 20, 2023, and the Energy Transfer Defendants filed their reply brief on February 6,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Rover - State of Ohio</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November 3, 2017, the State of Ohio and the Ohio Environmental Protection Agency (together “the Ohio EPA”) filed suit against Rover and five other defendants seeking to recover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the defendants opposed in briefs filed in February 2020. On April 22, 2020, the Ohio Supreme Court granted the Ohio EPA’s request for review. On March 17, 2022, the Ohio Supreme Court reversed in part and remanded to the Ohio trial court. The Ohio Supreme Court agreed with Rover that the State of Ohio had waived its rights under Section 401 of the Clean Water Act but remanded to the trial court to determine whether any of the allegations fell outside the scope of the waiver.</w:t>
      </w:r>
    </w:p>
    <w:p>
      <w:pPr>
        <w:spacing w:after="0" w:line="13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remand, the Ohio EPA voluntarily dismissed four of the other five defendants and dismissed one of its counts against Rover. In its Fourth Amended Complaint, the Ohio EPA removed all paragraphs that alleged violations by the four dismissed defendants, including those where the dismissed defendants were alleged to have acted jointly with Rover or others. At a June 2, 2022, status conference, the trial judge set a schedule for Rover and the other remaining defendant to file motions to dismiss the Fourth Amended Complaint. On August 1, 2022, Rover and the other remaining defendant each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right="720"/>
        <w:spacing w:after="0" w:line="438" w:lineRule="auto"/>
        <w:rPr>
          <w:sz w:val="20"/>
          <w:szCs w:val="20"/>
          <w:color w:val="auto"/>
        </w:rPr>
      </w:pPr>
      <w:r>
        <w:rPr>
          <w:rFonts w:ascii="Times New Roman" w:cs="Times New Roman" w:eastAsia="Times New Roman" w:hAnsi="Times New Roman"/>
          <w:sz w:val="18"/>
          <w:szCs w:val="18"/>
          <w:color w:val="auto"/>
        </w:rPr>
        <w:t xml:space="preserve">filed their respective motions. Briefing on those motions was completed on November 4, 2022. The motions remain pending before the court. </w:t>
      </w:r>
      <w:r>
        <w:rPr>
          <w:rFonts w:ascii="Times New Roman" w:cs="Times New Roman" w:eastAsia="Times New Roman" w:hAnsi="Times New Roman"/>
          <w:sz w:val="18"/>
          <w:szCs w:val="18"/>
          <w:b w:val="1"/>
          <w:bCs w:val="1"/>
          <w:i w:val="1"/>
          <w:iCs w:val="1"/>
          <w:color w:val="auto"/>
        </w:rPr>
        <w:t>Chester County, Pennsylvania Investigation</w:t>
      </w:r>
    </w:p>
    <w:p>
      <w:pPr>
        <w:spacing w:after="0" w:line="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December 2018, the former Chester County District Attorney (the “Chester County DA”) sent a letter to the Partnership stating that his office was investigating the Partnership and related entities for “potential crimes” related to the Mariner East pipelines.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Subsequently, the matter was submitted to an Investigating Grand Jury in Chester County, Pennsylvania, which has issued subpoenas seeking documents and testimony. On September 24, 2019, the Chester County DA sent a Notice of Intent to the Partnership of its intent to pursue an abatement action if certain conditions were not remediated. The Partnership responded to the Notice of Intent within the prescribed time period.</w:t>
      </w:r>
    </w:p>
    <w:p>
      <w:pPr>
        <w:spacing w:after="0" w:line="12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 December 2019, the Chester County DA announced charges against a current employee related to the provision of security services. On June 25, 2020, a preliminary hearing was held on the charges against the employee, and the judge dismissed all charges.</w:t>
      </w:r>
    </w:p>
    <w:p>
      <w:pPr>
        <w:spacing w:after="0" w:line="10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April 22, 2021, the Chester County DA filed a Complaint and Consent Decree in the Court of Common Pleas of Chester County, Pennsylvania constituting a settlement agreement between the Chester County DA and the Partnership. A status conference was held on May 10, 2021, and an Amended Consent Decree was filed on June 16, 2021, which was approved and entered by the Court on December 20, 2021. In accordance with the terms of the Amended Consent Decree, when the Mariner East 2/Mariner East 2X pipelines reached the point of mechanical completion in Chester County on March 23, 2022, the Amended Consent Decree terminated, which the Partnership communicated to the Chester County DA via letter on March 29, 2022. A Joint Motion for Termination of the Amended Consent Decree was filed on August 26, 2022. On January 14, 2023, the Court entered an Order terminating the Amended Consent Decree dated December 20, 2021. This matter is now closed.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 Regarding Pipeline Construction</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Various purported unitholders of Energy Transfer have filed derivative actions against various past and current members of Energy Transfer’s Board of Directors, LE GP, LLC, and Energy Transfer, as a nominal defendant that assert claims for breach of fiduciary duties, unjust enrichment, waste of corporate assets, breach of Energy Transfer’s Partnership Agreement, tortious interference, abuse of control, and gross mismanagement related primarily to matters involving the construction of pipelines in Pennsylvania and Ohio. They also seek damages and changes to Energy Transfer’s corporate governance structure. See Bettiol v. LE GP, Case No. 3:19-cv-02890-X (N.D. Tex.); Davidson v. Kelcy L. Warren, Cause No. DC-20-02322 (44th Judicial District of Dallas County, Texas); Harris v. Kelcy L. Warren, Case No. 2:20-cv-00364-GAM (E.D. Pa.); King v. LE GP, Case No. 3:20-cv-00719-X (N.D. Tex.); Inter-Marketing Group USA, Inc. v. LE GP, et at., Case No. 2022-0139-SG (Del. Ch.); Elliot v. LE GP LLC, Case No. 3:22-cv-01527-B (N.D. Tex.); Chapa v. Kelcy L. Warren, et al., Index No. 611307/2022 (N.Y. Sup. Ct.); Elliott v. LE GP et al, Cause No. DC-22-14194 (Dallas County, Tex.); and King v. LE GP, LLC et al, Cause No. DC-22-14159 (Dallas County, Texas). The King action that was filed in the United States District Court for the Northern District of Texas (Case No. 3:20-cv-00719-X) has been consolidated with the Bettiol action. On August 9, 2022, the Elliot action that was filed in the United States District Court for the Northern District of Texas (Case No. 3:22-cv-01527-B) was voluntarily dismissed.</w:t>
      </w:r>
    </w:p>
    <w:p>
      <w:pPr>
        <w:spacing w:after="0" w:line="13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Another purported unitholder of Energy Transfer, Allegheny County Employees’ Retirement System (“ACERS”), individually and on behalf of all others similarly situated, filed a suit under the federal securities laws purportedly on behalf of a class, against Energy Transfer and three of Energy Transfer’s directors, Kelcy L. Warren, John W. McReynolds, and Thomas E. Long. See Allegheny County Emps.’ Ret. Sys. v. Energy Transfer LP, Case No. 2:20-00200-GAM (E.D. Pa.). On June 15, 2020, ACERS filed an amended complaint and added as additional defendants Energy Transfer directors Marshall McCrea and Matthew Ramsey, as well as Michael J. Hennigan and Joseph McGinn. The amended complaint asserts claims for violations of Sections 10(b) and 20(a) of the Exchange Act and Rule 10b-5 promulgated thereunder related primarily to matters involving the construction of pipelines in Pennsylvania. On August 14, 2020, the defendants filed a motion to dismiss ACERS’ amended complaint. On April 6, 2021, the court granted in part and denied in part the defendants’ motion to dismiss. The court held that ACERS could proceed with its claims regarding certain statements put at issue by the amended complaint while also dismissing claims based on other statements. The court also dismissed without prejudice the claims against defendants McReynolds, McGinn, and Hennigan. Fact discovery is ongoing. On August 23, 2022, the Court granted in part and denied in part ACERS’ motion for class certification. The Court certified a class consisting of those who purchased or otherwise acquired common units of Energy Transfer between February 25, 2017 and November 11, 2019.</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June 3, 2022, another purported unitholder of Energy Transfer, Mike Vega, filed suit, purportedly on behalf of a class, against Energy Transfer and Messrs. Warren, Long, McCrea, and Whitehurst. See Vega v. Energy Transfer LP et al., Case No. 1:22-cv-4614 (S.D.N.Y.). The action asserts claims for violations of Sections 10(b) and 20(a) of the Securities Exchange Act of 1934 and Rule 10b-5 promulgated thereunder related primarily to statements made in connection with the construction of the Rover pipeline project.</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August 10, 2022, the Court appointed the New Mexico State Investment Council and Public Employees Retirement Association of New Mexico (the “New Mexico Funds”) as lead plaintiffs. New Mexico Funds filed an amended complaint on September 30, 2022 and added as additional defendants Energy Transfer directors John W. McReynolds and Matthew S. Ramsey. Defendants filed their motion to dismiss the amended complaint on November 4, 2022. On November 7, 2022, the court granted Defendants’ motion to transfer and transferred this action to the United States District Court for the Northern District of Texas.</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Cline Class Action</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July 7, 2017, Perry Cline filed a class action complaint in the Eastern District of Oklahoma against Sunoco, Inc. (R&amp;M), LLC (now known as Energy Transfer (R&amp;M), LLC) and Energy Transfer Marketing &amp; Terminals L.P. (collectively, “ETMT”) that alleged ETMT failed to make timely payments of oil and gas proceeds from Oklahoma wells and to pay statutory interest for those untimely payments. On October 3, 2019, the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1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 owners and interest-on-interest. This amount was later amended to $80.7 million to account for interest accrued from trial (the “Order”). Judge Gibney also awarded punitive damages in the amount of $75 million. The Class is also seeking attorneys’ fees.</w:t>
      </w:r>
    </w:p>
    <w:p>
      <w:pPr>
        <w:spacing w:after="0" w:line="12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August 27, 2020, ETMT filed its Notice of Appeal with the 10th Circuit and appealed the entirety of the Order. The matter was fully briefed, and oral argument was set for November 15, 2021. However, on November 1, 2021, the 10th Circuit dismissed the appeal due to jurisdictional concerns with finality of the Order. En banc rehearing of this decision was denied on November 29, 2021. On December 1, 2021, ETMT filed a Petition for Writ of Mandamus to the 10th Circuit to correct the jurisdictional problems and secure final judgment. On February 2, 2022, the 10th Circuit denied the Petition for Writ of Mandamus, citing that there are other avenues for ETMT to obtain adequate relief. On February 10, 2022, ETMT filed a Motion to Modify the Plan of Allocation Order and Issue a Rule 58 Judgment with the trial court, requesting the district court to enter a final judgment in compliance with the Rules. ETMT also filed an injunction with the trial court to enjoin all efforts by plaintiffs to execute on any non-final judgment. On March 31, 2022, Judge Gibney denied the Motion to Modify the Plan of Allocation, reiterating his thoughts that the order constitutes a final judgment. Judge Gibney granted the injunction in part (placing a hold on enforcement efforts for 60 days) and denied the injunction in part. The injunction has since been lifted.</w:t>
      </w:r>
    </w:p>
    <w:p>
      <w:pPr>
        <w:spacing w:after="0" w:line="14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Despite the fact that ETMT has taken the position that the judgment is not final and not subject to execution, the Class engaged in asset discovery and actively tried to collect on the judgment through garnishment proceedings from ETMT’s customers. ETMT unsuccessfully tried to deposit the funds into the Court’s Registry. Accordingly, to stop the garnishment proceedings, on December 2, 2022, ETMT wired approximately $161 million to the Plaintiff’s approved Plan Administrator, which represents the full amount of the judgment with attorney’s fees and post-judgment interest. ETMT did so without waiving its ability to pursue its pending appeal or its right to appeal the merits of the judgment. Plaintiff has since dismissed the garnishment actions.</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ETMT cannot predict the outcome of the case, nor can ETMT predict the amount of time and expense that will be required to resolve the appeal. A Petition for Writ of Certiorari was filed with the United States Supreme Court on April 28, 2022, seeking review of the 10th Circuit’s dismissal of ETMT’s appeal. The Supreme Court denied ETMT’s Petition on October 3, 2022. Despite the denial of its Petition for Writ of Certiorari, ETMT is still vigorously appealing the finality issues underlying the Order and has appealed the denial of the Motion to Modify to the 10th Circuit in an attempt to get a decision on finality. The appeal to the 10th Circuit has been fully briefed and oral argument is set for March 21,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12121"/>
        </w:rPr>
        <w:t>Energy Transfer LP and ETC Texas Pipeline, Ltd. v. Culberson Midstream LLC, et al.</w:t>
      </w:r>
    </w:p>
    <w:p>
      <w:pPr>
        <w:spacing w:after="0" w:line="175"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On April 8, 2022, Energy Transfer and ETC Texas Pipeline, Ltd. (“ETC,” and together with Energy Transfer, “Plaintiffs”) filed suit against Culberson Midstream LLC (“Culberson”), Culberson Midstream Equity, LLC (“Culberson Equity”), and Moontower Resources Gathering, LLC (“Moontower,” and together with Culberson and Culberson Equity, “Defendants”). On October 1, 2018, ETC and Culberson entered into a Gas Gathering and Processing Agreement (the “Bypass GGPA”) under which Culberson was to gather gas from its dedicated acreage and deliver all committed gas exclusively to ETC. In connection with the Bypass GGPA, on October 18, 2018, Energy Transfer and Culberson Equity also entered into an Option Agreement. Under the Option Agreement, Culberson Equity and Moontower had the right (but not the obligation) to require Energy Transfer to purchase their respective interests in Culberson by way of a put option. Notably, the Option Agreement is only enforceable so long as the parties comply with the Bypass GGPA. In late March 2022, Culberson Equity and Moontower submitted a put notice to Energy Transfer seeking to require Energy Transfer to purchase their respective interests in Culberson for approximately $93 million. On April 8, 2022, Plaintiffs filed suit against Defendants asserting claims for declaratory judgment and breach of contract. Plaintiffs contend that Defendants materially breached the Bypass GGPA by sending some committed gas to third parties and also by failing to send any gas to Plaintiffs since March 2020, and thus that Defendants' put notice is void. Defendants have answered the lawsuit. Culberson filed a counterclaim against ETC for breach of the Bypass GGPA, seeking the recovery of damages and attorneys’ fees. Culberson Equity and Moontower also filed a counterclaim against Energy Transfer for (1) breach of the Option Agreement, and (2) a declaratory judgment concerning Energy Transfer’s alleged obligation to purchase the Culberson interests. The lawsuit is pending in the 193rd Judicial District Court in Dallas County, Texas. On April 27, 2022, Defendants filed an application for a temporary restraining order, temporary injunction, and permanent injunction. The Court held a hearing on the application on April 28 and denied the injunction. In early May, Culberson filed a motion to enforce the appraisal process and confirm the validity of their put price calculation, to which Plaintiffs objected. On July 11, 2022, the Court held a hearing on the motion, and on July 19, 2022, the Court ordered the parties to engage in an appraisal process regarding the put price. An independent appraiser was appointed and issued his decision on October 15, 2022, concluding that the put price totals $93 million. Plaintiffs have consistently reiterated their objection to the appraisal process. Defendants filed a motion for summary judgment, but the Court has postponed considering it until the spring of 2023, after further document discovery and depositions. On December 7, 2022, Plaintiffs amended their petition to add a claim against all Defendants for fraudulent inducement. Plaintiffs cannot predict the ultimate outcome of this litigation or the amount of time and expense that will be required to resolve it.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Attorney General v. New England Gas Company</w:t>
      </w:r>
    </w:p>
    <w:p>
      <w:pPr>
        <w:spacing w:after="0" w:line="17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July 7, 2011, the Massachusetts Attorney General (the “MA AG”) filed a regulatory complaint with the Massachusetts Department of Public Utilities (“DPU”) against New England Gas Company (“NEG”) with respect to certain environmental cost recoveries. NEG was an operating division of Southern Union Company (“SUG”), and the NEG assets were acquired in connection with the merger transaction with Energy Transfer in March 2012. Subsequent to the merger, in 2013, SUG sold the NEG assets to Liberty Utilities (“Liberty,” and together with NEG and SUG, “Respondents”) and retained certain potential liabilities, including the environmental cost recoveries with respect to the pending complaint before the DPU. Specifically, the MA AG seeks a refund to NEG’s ratepayers for approximately $18 million in legal fees associated with SUG environmental response activities. The MA AG requests that the DPU initiate an investigation into NEG’s collection and reconciliation of recoverable environmental costs, namely: (1) the legal fees charged by the Kasowitz, Benson, Torres &amp; Friedman firm and passed through the recovery mechanism since 2005; (2) the legal fees charged by the Bishop, London &amp; Dodds firm and passed through the recovery mechanisms since 2005; and (3) the legal fees passed through the recovery mechanism that the MA AG contends only qualify for a lesser (i.e., 50 percent) level of recovery. Respondents maintain that, by tariff, these costs are recoverable through rates charged to NEG customers pursuant to the environmental remediation adjustment clause program. After the Respondents answered the complaint and filed a motion to dismiss in 2011, the Hearing Officer deferred decision on the motion to dismiss and issued a stay of discovery pending resolution of a discovery dispute, which it later lifted on June 24, 2013, permitting the case to resume. However, the MA AG failed to take any further steps to prosecute its claims for nearly seven years. The case remained largely dormant until February 2022, when the Hearing Officer denied the motion to dismiss. After receiving input from the parties, the Hearing Officer entered a procedural schedule on March 16, 2022 (which was amended slightly on August 22, 2022). The parties are now actively engaged in discovery and the preparation of pre-filed testimony. Respondents submitted their pre-filed testimony on July 11, 2022. The MA AG served three sets of discovery requests on Respondents on September 9, September 12, and September 20, respectively, to which Respondents timely responded. On October 5, 2022, the MA AG requested that the DPU issue a ruling on whether the information that Respondents redacted in their attorneys’ fees invoices is protected by the attorney-client privilege. On the same day, the MA AG also filed a Motion to Stay the Procedural Schedule pending a ruling on the privilege issue. On October 6, 2022, without even affording Respondents the opportunity to respond, the DPU granted the MA AG’s request to stay the procedural schedule.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Accordingly, all previous deadlines (including the MA AG’s October 7, 2022, deadline to submit direct pre-filed testimony) are presently stayed. Respondents cannot predict the ultimate outcome of this regulatory proceeding, nor can they predict the amount of time and expense that will be required to resolve these claims; however, Respondents will vigorously defend themselves against the MA AG’s claims.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4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the results of operations for any single period, we believe that such costs will not have a material adverse effect on our financial position.</w:t>
      </w:r>
    </w:p>
    <w:p>
      <w:pPr>
        <w:spacing w:after="0" w:line="12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subsidiaries are responsible for environmental remediation at certain sites, including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interstate pipelines conduct soil and groundwater remediation related to contamination from past uses of PCBs. PCB assessments are ongoing and, in some cases, our subsidiaries could be contractually responsible for contamination caused by other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gathering and processing systems are responsible for soil and groundwater remediation related to releases of hydrocarbons.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sites related to Sunoco, Inc. that are subject to environmental assessments, including formerly owned terminals and other logistics assets, retail sites that the Partnership no longer operates, closed and/or sold refineries and other formerly owned sites.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potentially subject to joint and several liability for the costs of remediation at sites at which it has been identified as a potentially responsible party (“PRP”). As of December 31, 2022, the Partnership had been named as a PRP at approximately 31 identified or potentially identifiable “Superfund” sites under federal and/or comparable state law. The Partnership is usually one of a number of companies identified as a PRP at a site. The Partnership has reviewed the nature and extent of its involvement at each site and other relevant circumstances and, based upon the Partnership’s purported nexus to the sites, believes that its potential liability associated with such sites will not be significant.</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have any material environmental matters assessed as reasonably possible that would require disclosure in our consolidated financial statements.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3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2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Partnership recorded $30 million and $28 million, respectively, of expenditures related to environmental cleanup programs.</w:t>
      </w:r>
    </w:p>
    <w:p>
      <w:pPr>
        <w:spacing w:after="0" w:line="10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Our pipeline operations are subject to regulation by the DOT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3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129" w:lineRule="exact"/>
        <w:rPr>
          <w:sz w:val="20"/>
          <w:szCs w:val="20"/>
          <w:color w:val="auto"/>
        </w:rPr>
      </w:pPr>
    </w:p>
    <w:p>
      <w:pPr>
        <w:ind w:left="340" w:right="8900" w:hanging="332"/>
        <w:spacing w:after="0" w:line="466" w:lineRule="auto"/>
        <w:tabs>
          <w:tab w:leader="none" w:pos="335"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REVENUE: </w:t>
      </w:r>
      <w:r>
        <w:rPr>
          <w:rFonts w:ascii="Times New Roman" w:cs="Times New Roman" w:eastAsia="Times New Roman" w:hAnsi="Times New Roman"/>
          <w:sz w:val="17"/>
          <w:szCs w:val="17"/>
          <w:b w:val="1"/>
          <w:bCs w:val="1"/>
          <w:color w:val="auto"/>
        </w:rPr>
        <w:t>Disaggregation of revenue</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major types of revenue within our reportable segments, are as follows:</w:t>
      </w:r>
    </w:p>
    <w:p>
      <w:pPr>
        <w:spacing w:after="0" w:line="117" w:lineRule="exact"/>
        <w:rPr>
          <w:rFonts w:ascii="Times New Roman" w:cs="Times New Roman" w:eastAsia="Times New Roman" w:hAnsi="Times New Roman"/>
          <w:sz w:val="17"/>
          <w:szCs w:val="17"/>
          <w:b w:val="1"/>
          <w:bCs w:val="1"/>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distribution and marketing;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parts and services;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ind w:left="340" w:right="1760"/>
        <w:spacing w:after="0" w:line="438" w:lineRule="auto"/>
        <w:rPr>
          <w:sz w:val="20"/>
          <w:szCs w:val="20"/>
          <w:color w:val="auto"/>
        </w:rPr>
      </w:pPr>
      <w:r>
        <w:rPr>
          <w:rFonts w:ascii="Times New Roman" w:cs="Times New Roman" w:eastAsia="Times New Roman" w:hAnsi="Times New Roman"/>
          <w:sz w:val="18"/>
          <w:szCs w:val="18"/>
          <w:color w:val="auto"/>
        </w:rPr>
        <w:t xml:space="preserve">Note 16 depicts the disaggregation of revenue by segment, with revenue amounts reflected in accordance with ASC Topic 606. </w:t>
      </w:r>
      <w:r>
        <w:rPr>
          <w:rFonts w:ascii="Times New Roman" w:cs="Times New Roman" w:eastAsia="Times New Roman" w:hAnsi="Times New Roman"/>
          <w:sz w:val="18"/>
          <w:szCs w:val="18"/>
          <w:b w:val="1"/>
          <w:bCs w:val="1"/>
          <w:i w:val="1"/>
          <w:iCs w:val="1"/>
          <w:color w:val="auto"/>
        </w:rPr>
        <w:t>Intrastate transportation and storage revenue</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 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3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 revenue</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 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4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long-term contracts with a wholly-owned subsidiary of Royal Dutch Shell plc (“Shell”). Terminalling revenue is generated from fees paid by Shell for storage and other associated services at the terminal. Payment for services under these contracts are typically due the month after the services have been performed.</w:t>
      </w:r>
    </w:p>
    <w:p>
      <w:pPr>
        <w:spacing w:after="0" w:line="1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Midstream revenue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midstream segment’s revenues are derived primarily from margins we earn for natural gas volumes that are gathered, processed, and/or transported. The various types of revenue contracts our midstream segment enters into include:</w:t>
      </w:r>
    </w:p>
    <w:p>
      <w:pPr>
        <w:spacing w:after="0" w:line="106"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fee gathering and processing: </w:t>
      </w:r>
      <w:r>
        <w:rPr>
          <w:rFonts w:ascii="Times New Roman" w:cs="Times New Roman" w:eastAsia="Times New Roman" w:hAnsi="Times New Roman"/>
          <w:sz w:val="18"/>
          <w:szCs w:val="18"/>
          <w:color w:val="auto"/>
        </w:rPr>
        <w:t>Contracts under which we provide gathering and processing services in exchange for a fixed cash fee per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Revenue for cash fees is recognized when the service is performed.</w:t>
      </w:r>
    </w:p>
    <w:p>
      <w:pPr>
        <w:spacing w:after="0" w:line="10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Keepwhole: </w:t>
      </w:r>
      <w:r>
        <w:rPr>
          <w:rFonts w:ascii="Times New Roman" w:cs="Times New Roman" w:eastAsia="Times New Roman" w:hAnsi="Times New Roman"/>
          <w:sz w:val="18"/>
          <w:szCs w:val="18"/>
          <w:color w:val="auto"/>
        </w:rPr>
        <w:t>Contracts under which we gather raw natural gas from a third-party producer, process the gas to convert it to pipeline quality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26"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Percent of Proceeds (“POP”): </w:t>
      </w:r>
      <w:r>
        <w:rPr>
          <w:rFonts w:ascii="Times New Roman" w:cs="Times New Roman" w:eastAsia="Times New Roman" w:hAnsi="Times New Roman"/>
          <w:sz w:val="18"/>
          <w:szCs w:val="18"/>
          <w:color w:val="auto"/>
        </w:rPr>
        <w:t>Contracts under which we provide gathering and processing services in exchange for a specified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producer’s commodity (“POP percentage”) and also in some cases additional cash fees. The two types of POP revenue contracts are described below:</w:t>
      </w:r>
    </w:p>
    <w:p>
      <w:pPr>
        <w:spacing w:after="0" w:line="50" w:lineRule="exact"/>
        <w:rPr>
          <w:sz w:val="20"/>
          <w:szCs w:val="20"/>
          <w:color w:val="auto"/>
        </w:rPr>
      </w:pPr>
    </w:p>
    <w:p>
      <w:pPr>
        <w:ind w:left="660" w:hanging="328"/>
        <w:spacing w:after="0" w:line="284"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In-Kind POP: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retain our POP percentage (non-cash consideration) and also any additional cash fees in exchange for providing the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 revenue for the non-cash consideration and cash fees at the time the services are performed.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Mixed POP: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purchase NGLs from the producer and retain a portion of the residue gas as non-cash consideration for services provided.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receive cash fees for such services. Under Topic 606, these agreements were determined 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obligations with respect to our midstream segment’s contracts are to provide gathering, transportation and processing services, each of which would be completed on or about the same time, and each of which would be recognized on the same line item on the income statement, therefore identification of separate performance obligations would not impact the timing or geography of revenue recognition.</w:t>
      </w:r>
    </w:p>
    <w:p>
      <w:pPr>
        <w:spacing w:after="0" w:line="12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midstream segment also generates revenues from the sale of residue gas and NGLs at the tailgate of our processing facilities primarily to affiliates and some third-party customers.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 revenue</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Our NGL and refined products transportation and services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3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 revenue</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crude oil transportation and services segment’s revenues are primarily derived from providing transportation, terminalling and acquisition and marketing services to crude oil markets throughout the southwest, midwest and northeastern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 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LP’s fuel distribution and marketing revenue</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Sunoco LP’s fuel distribution and marketing operations earn revenue from the following channels: sales to dealers, sales to distributors, unbranded wholesale revenue, commission agent revenue, rental income and other income. Motor fuel revenue consists primarily of the sale of motor fuel under supply agreements with third party customers and affiliates. Fuel supply contracts with Sunoco LP’s customers generally provide that Sunoco LP distribute motor fuel at a formula price based on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an estimate to determine the transaction price under the expected value method.</w:t>
      </w:r>
    </w:p>
    <w:p>
      <w:pPr>
        <w:spacing w:after="0" w:line="13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 is recognized under the motor fuel contracts at the point in time the customer takes control of the fuel. At the time control is transferred to the customer the sale is considered final, because the agreements do not grant customers the right to return motor fuel. Under the new standard, to determine when control transfers to the customer, the shipping terms of the contract are assessed as shipping terms are considered a primary indicator of the transfer of control. For FOB shipping point terms, revenue is recognized at the time of shipment. The performance obligation with respect to the sale of goods is satisfied 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w:t>
      </w:r>
    </w:p>
    <w:p>
      <w:pPr>
        <w:spacing w:after="0" w:line="13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Commission agent revenue consists of sales from commission agent agreements between Sunoco LP and select operators. Sunoco LP supplies motor fuel to sites operated by commission agents and sells the fuel directly to the end customer. In commission agent arrangements, control of the product is transferred at the point in time when the goods are sold to the end customer. To reflect the transfer of control, Sunoco LP recognizes commission agent revenue at the point in time fuel is sold to the end customer.</w:t>
      </w:r>
    </w:p>
    <w:p>
      <w:pPr>
        <w:spacing w:after="0" w:line="12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Sunoco LP receives rental income from leased or subleased properties. Revenue from leasing arrangements for which Sunoco LP is the lessor is recognized ratably over the term of the underlying lease.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LP’s all other revenue</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Sunoco LP’s all other operations earn revenue from the following channels: motor fuel sales, rental income and other income. Motor fuel sales consist of fuel sales to consumers at company-operated retail stores. Other income includes merchandise revenue that comprises the in-store merchandise and food service sales at company-operated retail stores, and other revenue that represents a variety of other services within Sunoco LP’s all other operations including credit card processing, car washes, lottery, automated teller machines, money orders, prepaid phone cards and wireless services. Revenue from all other operations is recognized when (or as) the performance obligations are satisfied (i.e. when the customer obtains control of the good or the service is provided).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contract operations revenue</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consideration exists in select contracts when billing rates vary based on actual equipment availability or volume of total installed horsepower.</w:t>
      </w:r>
    </w:p>
    <w:p>
      <w:pPr>
        <w:spacing w:after="0" w:line="17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USAC’s contracts with customers may include multiple performance obligations. For such arrangements, USAC allocates revenues to each performance obligation based on its relative standalone service fee. USAC generally determines standalone service fees based on the service fees charged to customers or using expected cost plus margin.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200"/>
        <w:spacing w:after="0" w:line="438" w:lineRule="auto"/>
        <w:rPr>
          <w:sz w:val="20"/>
          <w:szCs w:val="20"/>
          <w:color w:val="auto"/>
        </w:rPr>
      </w:pPr>
      <w:r>
        <w:rPr>
          <w:rFonts w:ascii="Times New Roman" w:cs="Times New Roman" w:eastAsia="Times New Roman" w:hAnsi="Times New Roman"/>
          <w:sz w:val="18"/>
          <w:szCs w:val="18"/>
          <w:color w:val="auto"/>
        </w:rPr>
        <w:t xml:space="preserve">There are typically no material obligations for returns or refunds. USAC’s standard contracts do not usually include material non-cash consideration. </w:t>
      </w:r>
      <w:r>
        <w:rPr>
          <w:rFonts w:ascii="Times New Roman" w:cs="Times New Roman" w:eastAsia="Times New Roman" w:hAnsi="Times New Roman"/>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USAC’s retail parts and services revenue is primarily earned on directly reimbursable freight and crane charges that are the financial responsibility of USAC’s customers and maintenance work on units at its customers’ locations that are outside the scope of its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on the invoice amount. There are typically no material obligations for returns, refunds, or warranties. USAC’s standard contracts do not usually include material variable or non-cash consideration.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 other revenue</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0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Partnership recognizes a contract liability if the customer’s payment of consideration precedes the Partnership’s fulfillment of the performance obligations. Certain contracts contain provisions requiring customers to pay a fixed minimum fee,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consolidated activity of our contract liabilities:</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87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Liabilities</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Sunoco LP’s contract assets and contract liabilities as of December 31, 2022 and 2021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contracts with customers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Contract</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the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years ended December 31, 2022, 2021 and 2020 was $22 million, $21 million and $18 million, respectively. Sunoco LP has also made a policy election of expensing the costs to obtain a contract, as and when they are incurred, in cases where the expected amortization period is one year or less.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following table.</w:t>
      </w:r>
    </w:p>
    <w:p>
      <w:pPr>
        <w:spacing w:after="0" w:line="1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Sunoco LP distributes fuel under long-term contracts to branded distributors, branded and unbranded third-party dealers, and branded and unbranded retail fuel outlets. Sunoco LP branded supply contracts with distributors generally have both time and volume commitments that establish contract duration. These contracts have an initial term of approximately ten years, with an estimated volume-weighted term remaining of approximately five years.</w:t>
      </w:r>
    </w:p>
    <w:p>
      <w:pPr>
        <w:spacing w:after="0" w:line="12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Sunoco LP is party 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aggregate amount of transaction price allocated to unsatisfied (or partially satisfied) performance obligations was $39.20 billion, and the Partnership expects to recognize this amount as revenue within the time bands illustrated below:</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color w:val="auto"/>
                <w:w w:val="99"/>
              </w:rPr>
              <w:t>Years Ending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156"/>
        </w:trPr>
        <w:tc>
          <w:tcPr>
            <w:tcW w:w="34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Revenue expected to be recognized on</w:t>
            </w:r>
          </w:p>
        </w:tc>
        <w:tc>
          <w:tcPr>
            <w:tcW w:w="8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4"/>
        </w:trPr>
        <w:tc>
          <w:tcPr>
            <w:tcW w:w="34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contracts with customers existing as of</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7,038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elected the following practical expedients in accordance with Topic 606:</w:t>
      </w:r>
    </w:p>
    <w:p>
      <w:pPr>
        <w:spacing w:after="0" w:line="115" w:lineRule="exact"/>
        <w:rPr>
          <w:sz w:val="20"/>
          <w:szCs w:val="20"/>
          <w:color w:val="auto"/>
        </w:rPr>
      </w:pPr>
    </w:p>
    <w:p>
      <w:pPr>
        <w:jc w:val="both"/>
        <w:ind w:left="660" w:hanging="328"/>
        <w:spacing w:after="0" w:line="261" w:lineRule="auto"/>
        <w:tabs>
          <w:tab w:leader="none" w:pos="655" w:val="left"/>
        </w:tabs>
        <w:numPr>
          <w:ilvl w:val="1"/>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Right to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utilize an output method to recognize revenue that is based on the amount to which the Partnership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Significant financing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not to adjust the promised amount of consideration for the effects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component if the Partnership expects, at contract inception, that the period between the transfer of a promised good or service to a customer and when the customer pays for that good or service will be one year or less.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Unearned variable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only disclose the unearned fixed consideration associated with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related to our various customer contracts which contain both fixed and variable components.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Incremental costs of obtaining a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generally expenses sales commissions when incurred because the amortization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Shipping and handling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account for shipping and handling activities that occur after the customer has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a good as fulfillment activities (i.e., an expense) rather than as a promised service.</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Measurement of transaction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has elected to exclude from the measurement of transaction price all taxes assessed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that are both imposed on and concurrent with a specific revenue-producing transaction and collected by the Partnership from a customer (i.e., sales tax, value added tax, etc.).</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Variable consideration of wholly unsatisfied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has elected to exclude the estimate of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the allocation of wholly unsatisfied performance obligations.</w:t>
      </w:r>
    </w:p>
    <w:p>
      <w:pPr>
        <w:spacing w:after="0" w:line="102" w:lineRule="exact"/>
        <w:rPr>
          <w:rFonts w:ascii="Times New Roman" w:cs="Times New Roman" w:eastAsia="Times New Roman" w:hAnsi="Times New Roman"/>
          <w:sz w:val="18"/>
          <w:szCs w:val="18"/>
          <w:color w:val="auto"/>
        </w:rPr>
      </w:pPr>
    </w:p>
    <w:p>
      <w:pPr>
        <w:ind w:left="340" w:right="8960" w:hanging="332"/>
        <w:spacing w:after="0" w:line="466" w:lineRule="auto"/>
        <w:tabs>
          <w:tab w:leader="none" w:pos="335"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LEASE ACCOUNTING: </w:t>
      </w:r>
      <w:r>
        <w:rPr>
          <w:rFonts w:ascii="Times New Roman" w:cs="Times New Roman" w:eastAsia="Times New Roman" w:hAnsi="Times New Roman"/>
          <w:sz w:val="17"/>
          <w:szCs w:val="17"/>
          <w:b w:val="1"/>
          <w:bCs w:val="1"/>
          <w:color w:val="auto"/>
        </w:rPr>
        <w:t>Lessee Accounting</w:t>
      </w: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Partnership leases terminal facilities, tank cars, office space, land and equipment under non-cancelable operating leases whose initial terms are typically five to 15 years, with some real estate leases having terms of 40 years or more, along with options that permit renewals for additional periods. At the inception of each, we determine if the arrangement is a lease or contains an embedded lease and review the facts and circumstances of the arrangement to classify lease assets as operating or finance leases under Topic 842. The Partnership has elected not to record any leases with terms of 12 months or less on the balance sheet.</w:t>
      </w:r>
    </w:p>
    <w:p>
      <w:pPr>
        <w:spacing w:after="0" w:line="1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present, the majority of the Partnership’s active leases are classified as operating in accordance with Topic 842. Balances related to operating leases are included in operating lease ROU assets, accrued and other current liabilities,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2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Partnership does not have leases that include options to purchase or automatic transfer of ownership of the leased property to the Partnership. The depreciable life of lease assets and leasehold improvements are limited by the expected lease term.</w:t>
      </w:r>
    </w:p>
    <w:p>
      <w:pPr>
        <w:spacing w:after="0" w:line="1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short-term leases (leases that have term of twelve months or less upon commencement), lease payments are recognized on a straight-line basis and no ROU assets are recorded.</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amounts recognized in the accompanying consolidated balance sheet as of December 31, 2022 and 2021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5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44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60" w:type="dxa"/>
            <w:vAlign w:val="bottom"/>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 - 60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2022 and 2021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Income Statement Location</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costs, gross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Less: Sublease income</w:t>
            </w: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costs, net</w:t>
            </w: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as of December 31, 2022 and 2021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9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and non-cash activity related to leases for the years ended December 31, 2022 and 2021 were as follows: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6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finance lease liabilities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100" w:type="dxa"/>
            <w:vAlign w:val="bottom"/>
            <w:gridSpan w:val="3"/>
          </w:tcPr>
          <w:p>
            <w:pPr>
              <w:jc w:val="right"/>
              <w:ind w:right="2510"/>
              <w:spacing w:after="0"/>
              <w:rPr>
                <w:sz w:val="20"/>
                <w:szCs w:val="20"/>
                <w:color w:val="auto"/>
              </w:rPr>
            </w:pPr>
            <w:r>
              <w:rPr>
                <w:rFonts w:ascii="Times New Roman" w:cs="Times New Roman" w:eastAsia="Times New Roman" w:hAnsi="Times New Roman"/>
                <w:sz w:val="18"/>
                <w:szCs w:val="18"/>
                <w:color w:val="auto"/>
              </w:rPr>
              <w:t>F - 61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2022 are as follows:</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8"/>
        </w:trPr>
        <w:tc>
          <w:tcPr>
            <w:tcW w:w="608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8"/>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Lessor Accounting</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Sunoco LP leases or subleases a portion of its real estate portfolio to third-party companies as a stable source of long-term revenue. Sunoco LP’s lessor and sublease portfolio consists mainly of operating leases with convenience store operators. At this time, most lessor agreements contain five-year terms with renewal options to extend and early termination options based on established terms specific to the individual agreement.</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Sunoco   LP’s   future   minimum   operating   lease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payments   receivable   as   of   December   31,   2022</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are   as   follows:</w:t>
            </w:r>
          </w:p>
        </w:tc>
      </w:tr>
      <w:tr>
        <w:trPr>
          <w:trHeight w:val="257"/>
        </w:trPr>
        <w:tc>
          <w:tcPr>
            <w:tcW w:w="444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Payments</w:t>
            </w: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9"/>
                <w:szCs w:val="19"/>
                <w:color w:val="auto"/>
              </w:rPr>
            </w:pPr>
          </w:p>
        </w:tc>
      </w:tr>
      <w:tr>
        <w:trPr>
          <w:trHeight w:val="248"/>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80" w:type="dxa"/>
            <w:vAlign w:val="bottom"/>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7440" w:hanging="332"/>
        <w:spacing w:after="0" w:line="440" w:lineRule="auto"/>
        <w:tabs>
          <w:tab w:leader="none" w:pos="33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ASSETS AND LIABILITIES: </w:t>
      </w:r>
      <w:r>
        <w:rPr>
          <w:rFonts w:ascii="Times New Roman" w:cs="Times New Roman" w:eastAsia="Times New Roman" w:hAnsi="Times New Roman"/>
          <w:sz w:val="18"/>
          <w:szCs w:val="18"/>
          <w:b w:val="1"/>
          <w:bCs w:val="1"/>
          <w:color w:val="auto"/>
        </w:rPr>
        <w:t>Commodity Price Risk</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our outstanding commodity-related derivatives: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December 31, 2022</w:t>
            </w:r>
          </w:p>
        </w:tc>
        <w:tc>
          <w:tcPr>
            <w:tcW w:w="2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480" w:type="dxa"/>
            <w:vAlign w:val="bottom"/>
            <w:tcBorders>
              <w:top w:val="single" w:sz="8" w:color="auto"/>
            </w:tcBorders>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Notional</w:t>
            </w: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Notional</w:t>
            </w: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Derivatives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Volume</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Maturity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Volume</w:t>
            </w:r>
          </w:p>
        </w:tc>
        <w:tc>
          <w:tcPr>
            <w:tcW w:w="1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(Trading)</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(BBtu):</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Basis Swaps IFERC/NYMEX</w:t>
            </w:r>
            <w:r>
              <w:rPr>
                <w:rFonts w:ascii="Times New Roman" w:cs="Times New Roman" w:eastAsia="Times New Roman" w:hAnsi="Times New Roman"/>
                <w:sz w:val="23"/>
                <w:szCs w:val="23"/>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 (Megawatt):</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2023-2029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 Puts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 Calls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(Non-Trading)</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(BBtu):</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Swing Swaps IFERC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(MBbls) – Forwards/Swaps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(MBbls) – Forwards/Swaps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Refined Products (MBbls) – Futures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2022-2023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Hedging Derivatives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(Non-Trading)</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(BBtu):</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4"/>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Hedged Item – Inventory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hanging="328"/>
        <w:spacing w:after="0" w:line="229" w:lineRule="auto"/>
        <w:tabs>
          <w:tab w:leader="none" w:pos="648"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aggregate amounts for open positions related to Houston Ship Channel, Waha Hub, NGPL TexOk, West Louisiana Zone and Henry Hub locations.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interest rate swaps outstanding, none of which were designated as hedges for accounting purposes: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Notional Amount Outstanding</w:t>
            </w:r>
          </w:p>
        </w:tc>
        <w:tc>
          <w:tcPr>
            <w:tcW w:w="380" w:type="dxa"/>
            <w:vAlign w:val="bottom"/>
            <w:tcBorders>
              <w:bottom w:val="single" w:sz="8" w:color="auto"/>
            </w:tcBorders>
          </w:tcPr>
          <w:p>
            <w:pPr>
              <w:spacing w:after="0"/>
              <w:rPr>
                <w:sz w:val="20"/>
                <w:szCs w:val="20"/>
                <w:color w:val="auto"/>
              </w:rPr>
            </w:pPr>
          </w:p>
        </w:tc>
      </w:tr>
      <w:tr>
        <w:trPr>
          <w:trHeight w:val="39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w:t>
            </w:r>
            <w:r>
              <w:rPr>
                <w:rFonts w:ascii="Times New Roman" w:cs="Times New Roman" w:eastAsia="Times New Roman" w:hAnsi="Times New Roman"/>
                <w:sz w:val="23"/>
                <w:szCs w:val="23"/>
                <w:color w:val="auto"/>
                <w:vertAlign w:val="superscript"/>
              </w:rPr>
              <w:t>(1)</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July 2022</w:t>
            </w: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3.80%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July 2023</w:t>
            </w:r>
          </w:p>
        </w:tc>
        <w:tc>
          <w:tcPr>
            <w:tcW w:w="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3.845% and receive a floating rate</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15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July 2024 </w:t>
            </w:r>
            <w:r>
              <w:rPr>
                <w:rFonts w:ascii="Times New Roman" w:cs="Times New Roman" w:eastAsia="Times New Roman" w:hAnsi="Times New Roman"/>
                <w:sz w:val="23"/>
                <w:szCs w:val="23"/>
                <w:color w:val="auto"/>
                <w:vertAlign w:val="superscript"/>
              </w:rPr>
              <w:t>(2)</w:t>
            </w: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to pay a fixed rate of 3.512% and receive a floating rate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4" w:lineRule="exact"/>
        <w:rPr>
          <w:sz w:val="20"/>
          <w:szCs w:val="20"/>
          <w:color w:val="auto"/>
        </w:rPr>
      </w:pPr>
    </w:p>
    <w:p>
      <w:pPr>
        <w:ind w:left="640" w:hanging="308"/>
        <w:spacing w:after="0"/>
        <w:tabs>
          <w:tab w:leader="none" w:pos="64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Floating rates are based on either SOFR or three-month LIBOR.</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effective date. These forward-starting swaps have terms of 30 years with a mandatory termination date the same as the effective date.</w:t>
      </w:r>
    </w:p>
    <w:p>
      <w:pPr>
        <w:spacing w:after="0" w:line="60" w:lineRule="exact"/>
        <w:rPr>
          <w:rFonts w:ascii="Times New Roman" w:cs="Times New Roman" w:eastAsia="Times New Roman" w:hAnsi="Times New Roman"/>
          <w:sz w:val="23"/>
          <w:szCs w:val="23"/>
          <w:color w:val="auto"/>
          <w:vertAlign w:val="superscript"/>
        </w:rPr>
      </w:pPr>
    </w:p>
    <w:p>
      <w:pPr>
        <w:ind w:left="680" w:hanging="348"/>
        <w:spacing w:after="0"/>
        <w:tabs>
          <w:tab w:leader="none" w:pos="68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interest rate swap was terminated and settled in 2022.</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derivative assets and liabilities: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Asset Derivatives</w:t>
            </w:r>
          </w:p>
        </w:tc>
        <w:tc>
          <w:tcPr>
            <w:tcW w:w="160" w:type="dxa"/>
            <w:vAlign w:val="bottom"/>
          </w:tcPr>
          <w:p>
            <w:pPr>
              <w:spacing w:after="0"/>
              <w:rPr>
                <w:sz w:val="19"/>
                <w:szCs w:val="19"/>
                <w:color w:val="auto"/>
              </w:rPr>
            </w:pPr>
          </w:p>
        </w:tc>
        <w:tc>
          <w:tcPr>
            <w:tcW w:w="27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Liability Derivatives</w:t>
            </w:r>
          </w:p>
        </w:tc>
      </w:tr>
      <w:tr>
        <w:trPr>
          <w:trHeight w:val="169"/>
        </w:trPr>
        <w:tc>
          <w:tcPr>
            <w:tcW w:w="4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6"/>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derivatives (margin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Commodity derivatives (margin deposits)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4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derivatives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without offsetting</w:t>
            </w:r>
          </w:p>
        </w:tc>
        <w:tc>
          <w:tcPr>
            <w:tcW w:w="2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155"/>
        </w:trPr>
        <w:tc>
          <w:tcPr>
            <w:tcW w:w="238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in offsetting agreements:</w:t>
            </w:r>
          </w:p>
        </w:tc>
        <w:tc>
          <w:tcPr>
            <w:tcW w:w="0" w:type="dxa"/>
            <w:vAlign w:val="bottom"/>
          </w:tcPr>
          <w:p>
            <w:pPr>
              <w:spacing w:after="0"/>
              <w:rPr>
                <w:sz w:val="1"/>
                <w:szCs w:val="1"/>
                <w:color w:val="auto"/>
              </w:rPr>
            </w:pPr>
          </w:p>
        </w:tc>
      </w:tr>
      <w:tr>
        <w:trPr>
          <w:trHeight w:val="229"/>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OTC contracts</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0" w:type="dxa"/>
            <w:vAlign w:val="bottom"/>
          </w:tcPr>
          <w:p>
            <w:pPr>
              <w:spacing w:after="0"/>
              <w:rPr>
                <w:sz w:val="1"/>
                <w:szCs w:val="1"/>
                <w:color w:val="auto"/>
              </w:rPr>
            </w:pPr>
          </w:p>
        </w:tc>
      </w:tr>
      <w:tr>
        <w:trPr>
          <w:trHeight w:val="180"/>
        </w:trPr>
        <w:tc>
          <w:tcPr>
            <w:tcW w:w="23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Broker cleared derivative</w:t>
            </w: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34"/>
        </w:trPr>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contracts</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47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Offsetting agreements: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Counterparty netting</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43"/>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Counterparty netting</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net derivatives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8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Asset Derivatives</w:t>
            </w:r>
          </w:p>
        </w:tc>
        <w:tc>
          <w:tcPr>
            <w:tcW w:w="160" w:type="dxa"/>
            <w:vAlign w:val="bottom"/>
          </w:tcPr>
          <w:p>
            <w:pPr>
              <w:spacing w:after="0"/>
              <w:rPr>
                <w:sz w:val="20"/>
                <w:szCs w:val="20"/>
                <w:color w:val="auto"/>
              </w:rPr>
            </w:pPr>
          </w:p>
        </w:tc>
        <w:tc>
          <w:tcPr>
            <w:tcW w:w="27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Liability Derivatives</w:t>
            </w:r>
          </w:p>
        </w:tc>
      </w:tr>
      <w:tr>
        <w:trPr>
          <w:trHeight w:val="169"/>
        </w:trPr>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403"/>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459"/>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8"/>
        </w:trPr>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454"/>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-1722120</wp:posOffset>
            </wp:positionV>
            <wp:extent cx="6660515" cy="265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30">
                      <a:extLst>
                        <a:ext uri="{28A0092B-C50C-407E-A947-70E740481C1C}"/>
                      </a:extLst>
                    </a:blip>
                    <a:srcRect/>
                    <a:stretch>
                      <a:fillRect/>
                    </a:stretch>
                  </pic:blipFill>
                  <pic:spPr bwMode="auto">
                    <a:xfrm>
                      <a:off x="0" y="0"/>
                      <a:ext cx="6660515" cy="26543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-1310640</wp:posOffset>
            </wp:positionV>
            <wp:extent cx="6660515"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31">
                      <a:extLst>
                        <a:ext uri="{28A0092B-C50C-407E-A947-70E740481C1C}"/>
                      </a:extLst>
                    </a:blip>
                    <a:srcRect/>
                    <a:stretch>
                      <a:fillRect/>
                    </a:stretch>
                  </pic:blipFill>
                  <pic:spPr bwMode="auto">
                    <a:xfrm>
                      <a:off x="0" y="0"/>
                      <a:ext cx="6660515" cy="14605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-899795</wp:posOffset>
            </wp:positionV>
            <wp:extent cx="6660515"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32">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-599440</wp:posOffset>
            </wp:positionV>
            <wp:extent cx="6660515"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33">
                      <a:extLst>
                        <a:ext uri="{28A0092B-C50C-407E-A947-70E740481C1C}"/>
                      </a:extLst>
                    </a:blip>
                    <a:srcRect/>
                    <a:stretch>
                      <a:fillRect/>
                    </a:stretch>
                  </pic:blipFill>
                  <pic:spPr bwMode="auto">
                    <a:xfrm>
                      <a:off x="0" y="0"/>
                      <a:ext cx="6660515" cy="14605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-187960</wp:posOffset>
            </wp:positionV>
            <wp:extent cx="6660515"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34">
                      <a:extLst>
                        <a:ext uri="{28A0092B-C50C-407E-A947-70E740481C1C}"/>
                      </a:extLst>
                    </a:blip>
                    <a:srcRect/>
                    <a:stretch>
                      <a:fillRect/>
                    </a:stretch>
                  </pic:blipFill>
                  <pic:spPr bwMode="auto">
                    <a:xfrm>
                      <a:off x="0" y="0"/>
                      <a:ext cx="66605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120"/>
            <w:col w:w="6260"/>
          </w:cols>
          <w:pgMar w:left="320" w:top="114" w:right="339" w:bottom="1440" w:gutter="0" w:footer="0" w:header="0"/>
          <w:type w:val="continuous"/>
        </w:sectPr>
      </w:pPr>
    </w:p>
    <w:p>
      <w:pPr>
        <w:spacing w:after="0" w:line="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amounts recognized with respect to our derivative financial instruments: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Gain (Loss)</w:t>
            </w:r>
          </w:p>
        </w:tc>
        <w:tc>
          <w:tcPr>
            <w:tcW w:w="260" w:type="dxa"/>
            <w:vAlign w:val="bottom"/>
          </w:tcPr>
          <w:p>
            <w:pPr>
              <w:spacing w:after="0"/>
              <w:rPr>
                <w:sz w:val="17"/>
                <w:szCs w:val="17"/>
                <w:color w:val="auto"/>
              </w:rPr>
            </w:pPr>
          </w:p>
        </w:tc>
        <w:tc>
          <w:tcPr>
            <w:tcW w:w="4120" w:type="dxa"/>
            <w:vAlign w:val="bottom"/>
            <w:gridSpan w:val="7"/>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Amount of Gain (Loss) Recognized in Income on</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Recognized in Income on</w:t>
            </w:r>
          </w:p>
        </w:tc>
        <w:tc>
          <w:tcPr>
            <w:tcW w:w="260" w:type="dxa"/>
            <w:vAlign w:val="bottom"/>
          </w:tcPr>
          <w:p>
            <w:pPr>
              <w:spacing w:after="0"/>
              <w:rPr>
                <w:sz w:val="15"/>
                <w:szCs w:val="15"/>
                <w:color w:val="auto"/>
              </w:rPr>
            </w:pPr>
          </w:p>
        </w:tc>
        <w:tc>
          <w:tcPr>
            <w:tcW w:w="41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Derivatives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Derivatives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derivatives – Trading</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Non-trading</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 (losses) on interest rate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8380" w:hanging="332"/>
        <w:spacing w:after="0" w:line="466" w:lineRule="auto"/>
        <w:tabs>
          <w:tab w:leader="none" w:pos="335"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RETIREMENT BENEFITS: </w:t>
      </w:r>
      <w:r>
        <w:rPr>
          <w:rFonts w:ascii="Times New Roman" w:cs="Times New Roman" w:eastAsia="Times New Roman" w:hAnsi="Times New Roman"/>
          <w:sz w:val="17"/>
          <w:szCs w:val="17"/>
          <w:b w:val="1"/>
          <w:bCs w:val="1"/>
          <w:color w:val="auto"/>
        </w:rPr>
        <w:t>Savings and Profit Sharing Plans</w:t>
      </w: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and our subsidiaries sponsor defined contribution savings and profit sharing plans, which collectively cover virtually all eligible employees, including those of Sunoco LP and USAC. Employer matching contributions are calculated using a formula based on employee contributions. We and our subsidiaries made matching contributions of $79 million, $65 million and $35 million to these 401(k) savings plans for the years ended December 31, 2022, 2021 and 2020, respectively.</w:t>
      </w:r>
    </w:p>
    <w:p>
      <w:pPr>
        <w:spacing w:after="0" w:line="125"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 result of the economic conditions in 2020, effective June 8, 2020, the Partnership ceased employer matching and profit sharing contributions through December 31, 2020. The Partnership resumed all such contributions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 Plans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Certain of the Partnership’s subsidiaries sponsor pension and/or other postretirement benefit plans that provide benefits to a defined group of retirees. The following table contains information at the dates indicated about the obligations and funded status of pension and other postretirement plans on a combined basis: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December 31, 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December 31, 2021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Pension Benefits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Pension Benefits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Funded Plans</w:t>
            </w: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79"/>
              <w:spacing w:after="0" w:line="161" w:lineRule="exact"/>
              <w:rPr>
                <w:sz w:val="20"/>
                <w:szCs w:val="20"/>
                <w:color w:val="auto"/>
              </w:rPr>
            </w:pPr>
            <w:r>
              <w:rPr>
                <w:rFonts w:ascii="Times New Roman" w:cs="Times New Roman" w:eastAsia="Times New Roman" w:hAnsi="Times New Roman"/>
                <w:sz w:val="16"/>
                <w:szCs w:val="16"/>
                <w:color w:val="auto"/>
              </w:rPr>
              <w:t>Unfunded</w:t>
            </w:r>
          </w:p>
        </w:tc>
        <w:tc>
          <w:tcPr>
            <w:tcW w:w="120" w:type="dxa"/>
            <w:vAlign w:val="bottom"/>
          </w:tcPr>
          <w:p>
            <w:pPr>
              <w:spacing w:after="0"/>
              <w:rPr>
                <w:sz w:val="14"/>
                <w:szCs w:val="14"/>
                <w:color w:val="auto"/>
              </w:rPr>
            </w:pPr>
          </w:p>
        </w:tc>
        <w:tc>
          <w:tcPr>
            <w:tcW w:w="14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Other Postretirement</w:t>
            </w:r>
          </w:p>
        </w:tc>
        <w:tc>
          <w:tcPr>
            <w:tcW w:w="11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Funded Plans</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79"/>
              <w:spacing w:after="0" w:line="161" w:lineRule="exact"/>
              <w:rPr>
                <w:sz w:val="20"/>
                <w:szCs w:val="20"/>
                <w:color w:val="auto"/>
              </w:rPr>
            </w:pPr>
            <w:r>
              <w:rPr>
                <w:rFonts w:ascii="Times New Roman" w:cs="Times New Roman" w:eastAsia="Times New Roman" w:hAnsi="Times New Roman"/>
                <w:sz w:val="16"/>
                <w:szCs w:val="16"/>
                <w:color w:val="auto"/>
                <w:w w:val="99"/>
              </w:rPr>
              <w:t>Unfunded</w:t>
            </w:r>
          </w:p>
        </w:tc>
        <w:tc>
          <w:tcPr>
            <w:tcW w:w="100" w:type="dxa"/>
            <w:vAlign w:val="bottom"/>
          </w:tcPr>
          <w:p>
            <w:pPr>
              <w:spacing w:after="0"/>
              <w:rPr>
                <w:sz w:val="14"/>
                <w:szCs w:val="14"/>
                <w:color w:val="auto"/>
              </w:rPr>
            </w:pPr>
          </w:p>
        </w:tc>
        <w:tc>
          <w:tcPr>
            <w:tcW w:w="14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Other Postretirement</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Plans</w:t>
            </w:r>
          </w:p>
        </w:tc>
        <w:tc>
          <w:tcPr>
            <w:tcW w:w="2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Benefits</w:t>
            </w: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Plans</w:t>
            </w:r>
          </w:p>
        </w:tc>
        <w:tc>
          <w:tcPr>
            <w:tcW w:w="3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cost</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gain and other</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Settlements</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Energy Transfer Canada sale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59"/>
        </w:trPr>
        <w:tc>
          <w:tcPr>
            <w:tcW w:w="2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Fair value of plan assets at beginning of</w:t>
            </w: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on plan assets and other</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Employer contributions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Settlements</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Energy Transfer Canada sale</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2940" w:type="dxa"/>
            <w:vAlign w:val="bottom"/>
            <w:shd w:val="clear" w:color="auto" w:fill="CCEEFF"/>
          </w:tcPr>
          <w:p>
            <w:pPr>
              <w:ind w:left="340"/>
              <w:spacing w:after="0" w:line="145" w:lineRule="exact"/>
              <w:rPr>
                <w:sz w:val="20"/>
                <w:szCs w:val="20"/>
                <w:color w:val="auto"/>
              </w:rPr>
            </w:pPr>
            <w:r>
              <w:rPr>
                <w:rFonts w:ascii="Times New Roman" w:cs="Times New Roman" w:eastAsia="Times New Roman" w:hAnsi="Times New Roman"/>
                <w:sz w:val="16"/>
                <w:szCs w:val="16"/>
                <w:color w:val="auto"/>
              </w:rPr>
              <w:t>Fair value of plan assets at end of</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Amount underfunded (overfunded) at end of</w:t>
            </w: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the consolidated</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balance sheets 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Non-current liabilities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accumulated other</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comprehensive income (pre-tax basis)</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actuarial gain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information at the dates indicated for plans with an accumulated benefit obligation in excess of plan assets:</w:t>
      </w:r>
    </w:p>
    <w:p>
      <w:pPr>
        <w:sectPr>
          <w:pgSz w:w="11900" w:h="16838" w:orient="portrait"/>
          <w:cols w:equalWidth="0" w:num="1">
            <w:col w:w="11240"/>
          </w:cols>
          <w:pgMar w:left="320" w:top="114" w:right="339" w:bottom="1440" w:gutter="0" w:footer="0" w:header="0"/>
        </w:sectPr>
      </w:pP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17145</wp:posOffset>
            </wp:positionV>
            <wp:extent cx="26828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3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Pension Benefits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17145</wp:posOffset>
            </wp:positionV>
            <wp:extent cx="27006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39">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Benefits</w:t>
      </w:r>
    </w:p>
    <w:p>
      <w:pPr>
        <w:spacing w:after="0" w:line="27" w:lineRule="exact"/>
        <w:rPr>
          <w:sz w:val="20"/>
          <w:szCs w:val="20"/>
          <w:color w:val="auto"/>
        </w:rPr>
      </w:pPr>
    </w:p>
    <w:p>
      <w:pPr>
        <w:sectPr>
          <w:pgSz w:w="11900" w:h="16838" w:orient="portrait"/>
          <w:cols w:equalWidth="0" w:num="2">
            <w:col w:w="6640" w:space="720"/>
            <w:col w:w="3880"/>
          </w:cols>
          <w:pgMar w:left="320" w:top="114" w:right="339" w:bottom="1440" w:gutter="0" w:footer="0" w:header="0"/>
          <w:type w:val="continuous"/>
        </w:sectPr>
      </w:pPr>
    </w:p>
    <w:tbl>
      <w:tblPr>
        <w:tblLayout w:type="fixed"/>
        <w:tblInd w:w="34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r>
      <w:tr>
        <w:trPr>
          <w:trHeight w:val="184"/>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Postretirement</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Postretirement</w:t>
            </w: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Funded Plans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Unfunded Plans</w:t>
            </w: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Benefits</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Funded Plans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Unfunded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156"/>
        </w:trPr>
        <w:tc>
          <w:tcPr>
            <w:tcW w:w="19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Projected benefit</w:t>
            </w: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24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N/A</w:t>
            </w:r>
          </w:p>
        </w:tc>
      </w:tr>
      <w:tr>
        <w:trPr>
          <w:trHeight w:val="176"/>
        </w:trPr>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benefit</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Periodic Benefit Cost</w:t>
      </w:r>
    </w:p>
    <w:p>
      <w:pPr>
        <w:sectPr>
          <w:pgSz w:w="11900" w:h="16838" w:orient="portrait"/>
          <w:cols w:equalWidth="0" w:num="1">
            <w:col w:w="112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periodic benefit cost: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Service cost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cost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Prior service cost amortization</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9"/>
        </w:trPr>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Other</w:t>
            </w:r>
          </w:p>
        </w:tc>
      </w:tr>
      <w:tr>
        <w:trPr>
          <w:trHeight w:val="175"/>
        </w:trPr>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Postretirement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Postretirement</w:t>
            </w:r>
          </w:p>
        </w:tc>
      </w:tr>
      <w:tr>
        <w:trPr>
          <w:trHeight w:val="243"/>
        </w:trPr>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Pension Benefits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Benefits</w:t>
            </w:r>
          </w:p>
        </w:tc>
        <w:tc>
          <w:tcPr>
            <w:tcW w:w="120" w:type="dxa"/>
            <w:vAlign w:val="bottom"/>
          </w:tcPr>
          <w:p>
            <w:pPr>
              <w:spacing w:after="0"/>
              <w:rPr>
                <w:sz w:val="21"/>
                <w:szCs w:val="2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43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-770890</wp:posOffset>
            </wp:positionV>
            <wp:extent cx="6669405"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40">
                      <a:extLst>
                        <a:ext uri="{28A0092B-C50C-407E-A947-70E740481C1C}"/>
                      </a:extLst>
                    </a:blip>
                    <a:srcRect/>
                    <a:stretch>
                      <a:fillRect/>
                    </a:stretch>
                  </pic:blipFill>
                  <pic:spPr bwMode="auto">
                    <a:xfrm>
                      <a:off x="0" y="0"/>
                      <a:ext cx="6669405" cy="14605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-479425</wp:posOffset>
            </wp:positionV>
            <wp:extent cx="6669405"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41">
                      <a:extLst>
                        <a:ext uri="{28A0092B-C50C-407E-A947-70E740481C1C}"/>
                      </a:extLst>
                    </a:blip>
                    <a:srcRect/>
                    <a:stretch>
                      <a:fillRect/>
                    </a:stretch>
                  </pic:blipFill>
                  <pic:spPr bwMode="auto">
                    <a:xfrm>
                      <a:off x="0" y="0"/>
                      <a:ext cx="6669405" cy="14605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-187960</wp:posOffset>
            </wp:positionV>
            <wp:extent cx="6669405"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42">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320"/>
          </w:cols>
          <w:pgMar w:left="320" w:top="114" w:right="3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used in determining benefit obligations at the dates indicated are shown in the following table: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December 31, 2022</w:t>
            </w:r>
          </w:p>
        </w:tc>
        <w:tc>
          <w:tcPr>
            <w:tcW w:w="30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6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Benefits</w:t>
            </w:r>
          </w:p>
        </w:tc>
        <w:tc>
          <w:tcPr>
            <w:tcW w:w="1580" w:type="dxa"/>
            <w:vAlign w:val="bottom"/>
            <w:gridSpan w:val="2"/>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used in determining net periodic benefit cost for the periods presented are shown in the following table: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December 31, 2022</w:t>
            </w: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9"/>
        </w:trPr>
        <w:tc>
          <w:tcPr>
            <w:tcW w:w="42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r>
      <w:tr>
        <w:trPr>
          <w:trHeight w:val="184"/>
        </w:trPr>
        <w:tc>
          <w:tcPr>
            <w:tcW w:w="4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Postretirement</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Postretirement</w:t>
            </w:r>
          </w:p>
        </w:tc>
      </w:tr>
      <w:tr>
        <w:trPr>
          <w:trHeight w:val="234"/>
        </w:trPr>
        <w:tc>
          <w:tcPr>
            <w:tcW w:w="4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Benefits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exempt accounts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 accounts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bl>
    <w:p>
      <w:pPr>
        <w:spacing w:after="0" w:line="2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 interest rates are evaluated before long-term market assumptions are determined. Peer data and historical returns are reviewed to ensure reasonableness and appropriateness.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assumed health care cost trend weighted-average rates used to measure the expected cost of benefits covered by the plans are shown in the following table:</w:t>
      </w:r>
    </w:p>
    <w:p>
      <w:pPr>
        <w:spacing w:after="0" w:line="14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3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is assumed to decline (the ultimate trend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bl>
    <w:p>
      <w:pPr>
        <w:spacing w:after="0" w:line="238" w:lineRule="exact"/>
        <w:rPr>
          <w:sz w:val="20"/>
          <w:szCs w:val="20"/>
          <w:color w:val="auto"/>
        </w:rPr>
      </w:pPr>
    </w:p>
    <w:p>
      <w:pPr>
        <w:ind w:left="340" w:right="1780"/>
        <w:spacing w:after="0" w:line="438" w:lineRule="auto"/>
        <w:rPr>
          <w:sz w:val="20"/>
          <w:szCs w:val="20"/>
          <w:color w:val="auto"/>
        </w:rPr>
      </w:pPr>
      <w:r>
        <w:rPr>
          <w:rFonts w:ascii="Times New Roman" w:cs="Times New Roman" w:eastAsia="Times New Roman" w:hAnsi="Times New Roman"/>
          <w:sz w:val="18"/>
          <w:szCs w:val="18"/>
          <w:color w:val="auto"/>
        </w:rPr>
        <w:t xml:space="preserve">Changes in the health care cost trend rate assumptions are not expected to have a significant impact on postretirement benefits. </w:t>
      </w:r>
      <w:r>
        <w:rPr>
          <w:rFonts w:ascii="Times New Roman" w:cs="Times New Roman" w:eastAsia="Times New Roman" w:hAnsi="Times New Roman"/>
          <w:sz w:val="18"/>
          <w:szCs w:val="18"/>
          <w:b w:val="1"/>
          <w:bCs w:val="1"/>
          <w:color w:val="auto"/>
        </w:rPr>
        <w:t>Plan Assets</w:t>
      </w:r>
    </w:p>
    <w:p>
      <w:pPr>
        <w:spacing w:after="0" w:line="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the Panhandle plans, the overall investment strategy is to maintain an appropriate balance of actively managed investments with the objective of optimizing longer-term returns while maintaining a high standard of portfolio quality and achieving proper diversification. To achieve diversity within its other postretirement plan asset portfolio, Panhandle has targeted the following asset allocations: equity of 25% to 35%, fixed income of 65% to 75%.</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investment strategy of ETC Sunoco funded defined benefit plans is to achieve consistent positive returns, after adjusting for inflation, and to maximize long-term total return within prudent levels of risk through a combination of income and capital appreciation. The objective of this strategy is to reduce the volatility of investment returns and maintain a sufficient funded status of the plans. In anticipation of the pension plan termination, ETC Sunoco targeted the asset allocations to a more stable position by investing in growth assets and liability hedging assets.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pension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Fair Value Measurements at December 31, 2022</w:t>
            </w:r>
          </w:p>
        </w:tc>
        <w:tc>
          <w:tcPr>
            <w:tcW w:w="34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Borders>
              <w:bottom w:val="single" w:sz="8" w:color="auto"/>
            </w:tcBorders>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(1)</w:t>
            </w:r>
          </w:p>
        </w:tc>
        <w:tc>
          <w:tcPr>
            <w:tcW w:w="1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1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approximately 100% equities as of December 31, 2022.</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Fair Value Measurements at December 31, 2021</w:t>
            </w:r>
          </w:p>
        </w:tc>
        <w:tc>
          <w:tcPr>
            <w:tcW w:w="34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Borders>
              <w:bottom w:val="single" w:sz="8" w:color="auto"/>
            </w:tcBorders>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(1)</w:t>
            </w:r>
          </w:p>
        </w:tc>
        <w:tc>
          <w:tcPr>
            <w:tcW w:w="1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400" w:right="5400" w:hanging="5068"/>
        <w:spacing w:after="0" w:line="857" w:lineRule="auto"/>
        <w:tabs>
          <w:tab w:leader="none" w:pos="635"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approximately 100% equities as of December 31, 2021. 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other postretirement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Fair Value Measurements at December 31, 2022</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composed of market index funds as of December 31, 2022.</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Fair Value Measurements at December 31, 2021</w:t>
            </w:r>
          </w:p>
        </w:tc>
        <w:tc>
          <w:tcPr>
            <w:tcW w:w="0" w:type="dxa"/>
            <w:vAlign w:val="bottom"/>
          </w:tcPr>
          <w:p>
            <w:pPr>
              <w:spacing w:after="0"/>
              <w:rPr>
                <w:sz w:val="1"/>
                <w:szCs w:val="1"/>
                <w:color w:val="auto"/>
              </w:rPr>
            </w:pPr>
          </w:p>
        </w:tc>
      </w:tr>
      <w:tr>
        <w:trPr>
          <w:trHeight w:val="223"/>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1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composed of market index funds as of December 31, 2021.</w:t>
      </w:r>
    </w:p>
    <w:p>
      <w:pPr>
        <w:spacing w:after="0" w:line="14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$5 million to pension plans and $1 million to other postretirement plans in 2023. The cost of the plans are funded in accordance with federal regulations, not to exceed the amounts deductible for income tax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Partnership’s estimate of expected benefit payments, which reflect expected future service, as appropriate, in each of the next five years and in the aggregate for the five years thereafter are shown in the following table:</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Other Postretirement Benefits (Gross,</w:t>
            </w:r>
          </w:p>
        </w:tc>
      </w:tr>
      <w:tr>
        <w:trPr>
          <w:trHeight w:val="234"/>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tcPr>
          <w:p>
            <w:pPr>
              <w:spacing w:after="0"/>
              <w:rPr>
                <w:sz w:val="20"/>
                <w:szCs w:val="20"/>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Pension Benefits - Funded Plans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Pension Benefits - Unfunded Plans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Before Medicare Part D)</w:t>
            </w:r>
          </w:p>
        </w:tc>
      </w:tr>
      <w:tr>
        <w:trPr>
          <w:trHeight w:val="223"/>
        </w:trPr>
        <w:tc>
          <w:tcPr>
            <w:tcW w:w="16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6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6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2027</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2028 – 2032</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does not expect to receive any Medicare Part D subsidies in any future periods.</w:t>
      </w:r>
    </w:p>
    <w:p>
      <w:pPr>
        <w:spacing w:after="0" w:line="167" w:lineRule="exact"/>
        <w:rPr>
          <w:sz w:val="20"/>
          <w:szCs w:val="20"/>
          <w:color w:val="auto"/>
        </w:rPr>
      </w:pPr>
    </w:p>
    <w:p>
      <w:pPr>
        <w:ind w:left="320" w:hanging="312"/>
        <w:spacing w:after="0"/>
        <w:tabs>
          <w:tab w:leader="none" w:pos="3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REPORTABLE SEGMENTS: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reportable segments currently reflect the following segments, which conduct their business primarily in the United States: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33"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revenues and expenses reflect the elimination of all material intercompany transactions.</w:t>
      </w:r>
    </w:p>
    <w:p>
      <w:pPr>
        <w:spacing w:after="0" w:line="17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reflected in crude sales and gathering, transportation and other fees.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3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We report Segment Adjusted EBITDA as a measure of segment performance. 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financial information by segment:</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 - 72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677660"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49">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50">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51">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Sunoco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52">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USAC</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53">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Eliminations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cost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67766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54">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55">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56">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Sunoco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57">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USAC</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58">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depreciation, depletion and amortization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67766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59">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60">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61">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7766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62">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434"/>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Pr>
          <w:p>
            <w:pPr>
              <w:spacing w:after="0"/>
              <w:rPr>
                <w:sz w:val="24"/>
                <w:szCs w:val="24"/>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34"/>
        </w:trPr>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r>
      <w:tr>
        <w:trPr>
          <w:trHeight w:val="223"/>
        </w:trPr>
        <w:tc>
          <w:tcPr>
            <w:tcW w:w="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434"/>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4"/>
        </w:trPr>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r>
      <w:tr>
        <w:trPr>
          <w:trHeight w:val="434"/>
        </w:trPr>
        <w:tc>
          <w:tcPr>
            <w:tcW w:w="3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40" w:space="600"/>
            <w:col w:w="4400"/>
          </w:cols>
          <w:pgMar w:left="320" w:top="114" w:right="7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interest rate derivatives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Unrealized (gains) losses on commodity risk management activities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investments in unconsolidated affiliates</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and eliminations</w:t>
            </w: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w w:val="97"/>
              </w:rPr>
              <w:t>F - 74</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Additions to property, plant and equipment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 xml:space="preserve">Total additions to property, plant and equipment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29" w:lineRule="auto"/>
        <w:tabs>
          <w:tab w:leader="none" w:pos="648" w:val="left"/>
        </w:tabs>
        <w:numPr>
          <w:ilvl w:val="0"/>
          <w:numId w:val="1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presented on the accrual basis, net of contributions in aid of constructions costs. Amounts exclude acquisitions and include only the Partnership’s proportionate share of capital expenditures related to joint ventures.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4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5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in unconsolidated affiliates</w:t>
            </w:r>
          </w:p>
        </w:tc>
        <w:tc>
          <w:tcPr>
            <w:tcW w:w="1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560" w:type="dxa"/>
            <w:vAlign w:val="bottom"/>
          </w:tcPr>
          <w:p>
            <w:pPr>
              <w:spacing w:after="0"/>
              <w:rPr>
                <w:sz w:val="24"/>
                <w:szCs w:val="24"/>
                <w:color w:val="auto"/>
              </w:rPr>
            </w:pPr>
          </w:p>
        </w:tc>
        <w:tc>
          <w:tcPr>
            <w:tcW w:w="244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 - 75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4.71</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Units</w:t>
      </w:r>
    </w:p>
    <w:p>
      <w:pPr>
        <w:spacing w:after="0" w:line="162" w:lineRule="exact"/>
        <w:rPr>
          <w:sz w:val="20"/>
          <w:szCs w:val="20"/>
          <w:color w:val="auto"/>
        </w:rPr>
      </w:pPr>
    </w:p>
    <w:p>
      <w:pPr>
        <w:jc w:val="both"/>
        <w:ind w:firstLine="441"/>
        <w:spacing w:after="0" w:line="238" w:lineRule="auto"/>
        <w:rPr>
          <w:sz w:val="20"/>
          <w:szCs w:val="20"/>
          <w:color w:val="auto"/>
        </w:rPr>
      </w:pPr>
      <w:r>
        <w:rPr>
          <w:rFonts w:ascii="Times New Roman" w:cs="Times New Roman" w:eastAsia="Times New Roman" w:hAnsi="Times New Roman"/>
          <w:sz w:val="18"/>
          <w:szCs w:val="18"/>
          <w:color w:val="auto"/>
        </w:rPr>
        <w:t>Our common units represent limited partner interests in Energy Transfer LP (the “Partnership”). Our common units entitle the holders to participate in our cash distributions and to exercise the rights and privileges available to our limited partners under our Third Amended and Restated Agreement of Limited Partnership, as amended to date (our “partnership agreement”). For a description of the rights of holders of our common units to cash distributions, see the section below entitled “Distribution Policy.” For a description of the rights and privileges of limited partners under our partnership agreement, including voting rights, see the section below entitled “Our Partnership Agreement.” We urge you to read our partnership agreement, as our partnership agreement, and not this description, governs the rights of holders of our common units.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Common Units</w:t>
      </w:r>
    </w:p>
    <w:p>
      <w:pPr>
        <w:spacing w:after="0" w:line="162"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majority of our common units are held by the public and the remaining are held by our affiliates. In accordance with Delaware law and the provisions of our partnership agreement, we may issue additional common units without the approval of the then-existing holders of common units, and such additional issuance may dilute the then-existing common unitholders percentage interests in our net assets and the voting rights of the common unitholders under our partnership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62" w:lineRule="exact"/>
        <w:rPr>
          <w:sz w:val="20"/>
          <w:szCs w:val="20"/>
          <w:color w:val="auto"/>
        </w:rPr>
      </w:pPr>
    </w:p>
    <w:p>
      <w:pPr>
        <w:jc w:val="both"/>
        <w:ind w:firstLine="441"/>
        <w:spacing w:after="0" w:line="226" w:lineRule="auto"/>
        <w:rPr>
          <w:sz w:val="20"/>
          <w:szCs w:val="20"/>
          <w:color w:val="auto"/>
        </w:rPr>
      </w:pPr>
      <w:r>
        <w:rPr>
          <w:rFonts w:ascii="Times New Roman" w:cs="Times New Roman" w:eastAsia="Times New Roman" w:hAnsi="Times New Roman"/>
          <w:sz w:val="18"/>
          <w:szCs w:val="18"/>
          <w:color w:val="auto"/>
        </w:rPr>
        <w:t>Unlike the holders of common stock in a corporation, the holders of our common units have only limited voting rights on matters affecting our business. The holders of our common units have no right to elect the general partner or the directors of the general partner on an annual or otherwise continuing basis. Our general partner may not be removed except by the vote of the holders of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outstanding units, including units owned by the general partner and its affiliates. Each holder of common units is entitled to one vote for each common unit on all matters submitted to a vote of the unitholders. Common unitholders do not have preemptive rights to acquire additional common units or other partnership securities.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Energy Transfer common units may vote on the following matters:</w:t>
      </w:r>
    </w:p>
    <w:p>
      <w:pPr>
        <w:spacing w:after="0" w:line="158" w:lineRule="exact"/>
        <w:rPr>
          <w:sz w:val="20"/>
          <w:szCs w:val="20"/>
          <w:color w:val="auto"/>
        </w:rPr>
      </w:pPr>
    </w:p>
    <w:p>
      <w:pPr>
        <w:ind w:left="820" w:hanging="326"/>
        <w:spacing w:after="0"/>
        <w:tabs>
          <w:tab w:leader="none" w:pos="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exchange of all or substantially all of our assets;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 successor general partner in connection with the withdrawal or removal of our general partner;</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reconstitution of the Partnership;</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Partnership;</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limited partner interests in some circumstances; and</w:t>
      </w:r>
    </w:p>
    <w:p>
      <w:pPr>
        <w:spacing w:after="0" w:line="157"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amendments to our partnership agreement, including any amendment that would cause Energy Transfer to be treated as an association taxable as a corporation.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Removal of the general partner requires:</w:t>
      </w:r>
    </w:p>
    <w:p>
      <w:pPr>
        <w:spacing w:after="0" w:line="158" w:lineRule="exact"/>
        <w:rPr>
          <w:sz w:val="20"/>
          <w:szCs w:val="20"/>
          <w:color w:val="auto"/>
        </w:rPr>
      </w:pPr>
    </w:p>
    <w:p>
      <w:pPr>
        <w:ind w:left="820" w:hanging="326"/>
        <w:spacing w:after="0"/>
        <w:tabs>
          <w:tab w:leader="none" w:pos="8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662⁄3% vote of all outstanding units; and</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 successor general partner by the holders of a majority of our outstanding common units.</w:t>
      </w:r>
    </w:p>
    <w:p>
      <w:pPr>
        <w:sectPr>
          <w:pgSz w:w="11900" w:h="16838" w:orient="portrait"/>
          <w:cols w:equalWidth="0" w:num="1">
            <w:col w:w="11240"/>
          </w:cols>
          <w:pgMar w:left="320" w:top="1427" w:right="339" w:bottom="1440" w:gutter="0" w:footer="0" w:header="0"/>
        </w:sectPr>
      </w:pPr>
    </w:p>
    <w:bookmarkStart w:id="242" w:name="page243"/>
    <w:bookmarkEnd w:id="24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Energy Transfer Common Units</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Any transfers of common units will not be recorded by the transfer agent or recognized by us unless the transferee executes and delivers a transfer application. By executing and delivering a transfer application, the transferee of common units:</w:t>
      </w:r>
    </w:p>
    <w:p>
      <w:pPr>
        <w:spacing w:after="0" w:line="108" w:lineRule="exact"/>
        <w:rPr>
          <w:sz w:val="20"/>
          <w:szCs w:val="20"/>
          <w:color w:val="auto"/>
        </w:rPr>
      </w:pPr>
    </w:p>
    <w:p>
      <w:pPr>
        <w:ind w:left="820" w:hanging="326"/>
        <w:spacing w:after="0"/>
        <w:tabs>
          <w:tab w:leader="none" w:pos="8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the record holder of the common units and is an assignee until admitted as a substituted limited partner;</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requests admission as a substituted limited partner;</w:t>
      </w:r>
    </w:p>
    <w:p>
      <w:pPr>
        <w:spacing w:after="0" w:line="157"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that such transferee has the right, power and authority and, if an individual, the capacity to enter into our partnership agreement;</w:t>
      </w:r>
    </w:p>
    <w:p>
      <w:pPr>
        <w:spacing w:after="0" w:line="9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the powers of attorney set forth in our partnership agreement; and</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consents and approvals and makes the waivers contained in our partnership agreement.</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 assignee will become a substituted limited partner for the transferred common units upon the consent of our general partner and the recording of the name of the assignee on our books and records. Our general partner may withhold its consent in its sole discretion.</w:t>
      </w:r>
    </w:p>
    <w:p>
      <w:pPr>
        <w:spacing w:after="0" w:line="108"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A transferee’s broker, agent or nominee may complete, execute and deliver a transfer application. We are entitled to treat the nominee holder of common units as the absolute owner. In that case, the beneficial holder’s rights are limited solely to those that it has against the nominee holder as a result of any agreement between the beneficial owner and the nominee holder.</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units are securities and are transferable according to the laws governing transfer of securities.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other rights acquired upon admission as a substituted limited partner for the transferred common units, a purchaser or transferee of our common units who does not execute and deliver a transfer application obtains only:</w:t>
      </w:r>
    </w:p>
    <w:p>
      <w:pPr>
        <w:spacing w:after="0" w:line="108" w:lineRule="exact"/>
        <w:rPr>
          <w:sz w:val="20"/>
          <w:szCs w:val="20"/>
          <w:color w:val="auto"/>
        </w:rPr>
      </w:pPr>
    </w:p>
    <w:p>
      <w:pPr>
        <w:ind w:left="820" w:hanging="326"/>
        <w:spacing w:after="0"/>
        <w:tabs>
          <w:tab w:leader="none" w:pos="8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assign the common units to a purchaser or other transferee; and</w:t>
      </w:r>
    </w:p>
    <w:p>
      <w:pPr>
        <w:spacing w:after="0" w:line="157" w:lineRule="exact"/>
        <w:rPr>
          <w:rFonts w:ascii="Times New Roman" w:cs="Times New Roman" w:eastAsia="Times New Roman" w:hAnsi="Times New Roman"/>
          <w:sz w:val="18"/>
          <w:szCs w:val="18"/>
          <w:color w:val="auto"/>
        </w:rPr>
      </w:pPr>
    </w:p>
    <w:p>
      <w:pPr>
        <w:ind w:left="440" w:right="2360" w:firstLine="54"/>
        <w:spacing w:after="0" w:line="414" w:lineRule="auto"/>
        <w:tabs>
          <w:tab w:leader="none" w:pos="8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transfer the right to seek admission as a substituted limited partner for the transferred common units. Thus, a purchaser or transferee of our common units who does not execute and deliver a transfer application:</w:t>
      </w:r>
    </w:p>
    <w:p>
      <w:pPr>
        <w:spacing w:after="0" w:line="1"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cash distributions or federal income tax allocations, unless the common units are held in a nominee or “street name” account and the nominee or broker has executed and delivered a transfer application; and</w:t>
      </w:r>
    </w:p>
    <w:p>
      <w:pPr>
        <w:spacing w:after="0" w:line="10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receive some federal income tax information or reports furnished to record holders of common units.</w:t>
      </w:r>
    </w:p>
    <w:p>
      <w:pPr>
        <w:spacing w:after="0" w:line="158"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w:t>
      </w:r>
    </w:p>
    <w:p>
      <w:pPr>
        <w:spacing w:after="0" w:line="123"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Until a common unit has been transferred on our books, we and the transfer agent may treat the record holder of the common unit as the absolute owner for all purposes, except as otherwise required by law or stock exchange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outstanding common units are listed on the NYSE under the symbol “ET.” Any additional common units we issue also will be listed on the NYSE.</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transfer agent and registrar for the common units is American Stock Transfer &amp; Trust Company.</w:t>
      </w:r>
    </w:p>
    <w:p>
      <w:pPr>
        <w:spacing w:after="0" w:line="1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Our Partnership Agreement</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our partnership agreement. The provisions of our partnership agreement relating to distributions of our available cash are described under “Distribution Policy.”</w:t>
      </w:r>
    </w:p>
    <w:p>
      <w:pPr>
        <w:spacing w:after="0" w:line="108" w:lineRule="exact"/>
        <w:rPr>
          <w:sz w:val="20"/>
          <w:szCs w:val="20"/>
          <w:color w:val="auto"/>
        </w:rPr>
      </w:pPr>
    </w:p>
    <w:p>
      <w:pPr>
        <w:jc w:val="both"/>
        <w:ind w:firstLine="441"/>
        <w:spacing w:after="0" w:line="236" w:lineRule="auto"/>
        <w:rPr>
          <w:sz w:val="20"/>
          <w:szCs w:val="20"/>
          <w:color w:val="auto"/>
        </w:rPr>
      </w:pPr>
      <w:r>
        <w:rPr>
          <w:rFonts w:ascii="Times New Roman" w:cs="Times New Roman" w:eastAsia="Times New Roman" w:hAnsi="Times New Roman"/>
          <w:sz w:val="18"/>
          <w:szCs w:val="18"/>
          <w:color w:val="auto"/>
        </w:rPr>
        <w:t>The description of our partnership agreement contained herein does not purport to be complete and is qualified in its entirety by reference to the complete text of our Third Amended and Restated Agreement of Limited Partnership, dated February 8, 2006, as amended. A copy of our partnership agreement is filed as Exhibit 3.1 to our Current Report on Form 8-K filed with the SEC on February 14, 2006, as amended by Amendment No. 1 to our partnership agreement, a copy of which is filed as Exhibit 3.3.1 to our Current Report on Form 8-K filed with the SEC on November 29, 2006, as amended by Amendment No. 2 to our partnership agreement, a copy of which is filed as Exhibit 3.3.2 to our Current Report on Form 8-K filed with the SEC on November 13, 2007, as amended by Amendment No. 3 to our partnership agreement, a copy of which is filed as Exhibit 3.1 to our Current Report on Form 8-K filed with the SEC on June 2, 2010, as amended by Amendment No. 4 to our partnership agreement, a copy of which is filed as Exhibit 3.1 to our Current Report on Form 8-K filed with the SEC on December 27, 2013, as amended by Amendment No. 5 to our partnership agreement, a copy of which is filed as Exhibit 3.1 to our Current Report on Form 8-K filed with the SEC on March 9, 2016, as amended by Amendment No. 6 to our partnership agreement, a copy of which is filed as Exhibit 3.2 to our Current Report on Form 8-K filed with the SEC on October 19, 2018, as amended by Amendment No. 7 to our partnership agreement, a copy of which is filed as Exhibit 3.10 to our Quarterly Report on Form 10-Q filed with the SEC on August 8, 2019, as amended by Amendment No. 8 to our partnership agreement, a copy of which is filed as Exhibit 3.1 to our Current Report on Form 8-K filed with the SEC on April 1, 2021, as amended by Amendment No. 9 to our partnership agreement, a copy of which is filed as Exhibit 3.1 to our Current Report on Form 8-K filed with the SEC on June 15, 2021, each of which is incorporated by reference into this description. We urge you to read our partnership agreement, as our partnership agreement, and not this description, governs our partnership interests.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 provided that our general partner may not cause us to engage, directly or indirectly, in any business activity that our general partner determines would cause us to be treated as an association taxable as a corporation or otherwise taxable as an entity for federal income tax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Each unitholder, and each person who acquires a unit from a unitholder, by accepting the unit, automatically grants to our general partner and, if appointed, a liquidator, a power of attorney to, among other things, execute and file documents required for our qualification, continuance or dissolution. The power of attorney also grants the authority to amend, and to make consents and waivers under, our partnership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Pursuant to our partnership agreement, we make quarterly distributions of available cash to all unitholders and our general partner. Please see “Distribution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p>
      <w:pPr>
        <w:spacing w:after="0" w:line="148"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is entitled to determine in good faith the expenses that are allocable to us.</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Partnership Securities; Preemptive Rights</w:t>
      </w:r>
    </w:p>
    <w:p>
      <w:pPr>
        <w:spacing w:after="0" w:line="16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w:t>
      </w:r>
    </w:p>
    <w:p>
      <w:pPr>
        <w:spacing w:after="0" w:line="123" w:lineRule="exact"/>
        <w:rPr>
          <w:sz w:val="20"/>
          <w:szCs w:val="20"/>
          <w:color w:val="auto"/>
        </w:rPr>
      </w:pPr>
    </w:p>
    <w:p>
      <w:pPr>
        <w:jc w:val="both"/>
        <w:ind w:firstLine="441"/>
        <w:spacing w:after="0"/>
        <w:rPr>
          <w:sz w:val="20"/>
          <w:szCs w:val="20"/>
          <w:color w:val="auto"/>
        </w:rPr>
      </w:pPr>
      <w:r>
        <w:rPr>
          <w:rFonts w:ascii="Times New Roman" w:cs="Times New Roman" w:eastAsia="Times New Roman" w:hAnsi="Times New Roman"/>
          <w:sz w:val="18"/>
          <w:szCs w:val="18"/>
          <w:color w:val="auto"/>
        </w:rPr>
        <w:t>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 partnership interests may dilute (i) the percentage interests of the then-existing holders of common units in our net assets and (ii) the voting rights of the then-existing holders of common units under our partnership agreement.</w:t>
      </w:r>
    </w:p>
    <w:p>
      <w:pPr>
        <w:spacing w:after="0" w:line="13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securities that have special voting rights to which the common units are not entitled.</w:t>
      </w:r>
    </w:p>
    <w:p>
      <w:pPr>
        <w:spacing w:after="0" w:line="108" w:lineRule="exact"/>
        <w:rPr>
          <w:sz w:val="20"/>
          <w:szCs w:val="20"/>
          <w:color w:val="auto"/>
        </w:rPr>
      </w:pPr>
    </w:p>
    <w:p>
      <w:pPr>
        <w:jc w:val="both"/>
        <w:ind w:firstLine="441"/>
        <w:spacing w:after="0"/>
        <w:rPr>
          <w:sz w:val="20"/>
          <w:szCs w:val="20"/>
          <w:color w:val="auto"/>
        </w:rPr>
      </w:pPr>
      <w:r>
        <w:rPr>
          <w:rFonts w:ascii="Times New Roman" w:cs="Times New Roman" w:eastAsia="Times New Roman" w:hAnsi="Times New Roman"/>
          <w:sz w:val="18"/>
          <w:szCs w:val="18"/>
          <w:color w:val="auto"/>
        </w:rPr>
        <w:t>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holders of our common units do not have preemptive rights to acquire additional common units or other partnership securities.</w:t>
      </w:r>
    </w:p>
    <w:p>
      <w:pPr>
        <w:spacing w:after="0" w:line="158" w:lineRule="exact"/>
        <w:rPr>
          <w:sz w:val="20"/>
          <w:szCs w:val="20"/>
          <w:color w:val="auto"/>
        </w:rPr>
      </w:pPr>
    </w:p>
    <w:p>
      <w:pPr>
        <w:jc w:val="both"/>
        <w:ind w:firstLine="441"/>
        <w:spacing w:after="0" w:line="236" w:lineRule="auto"/>
        <w:rPr>
          <w:sz w:val="20"/>
          <w:szCs w:val="20"/>
          <w:color w:val="auto"/>
        </w:rPr>
      </w:pPr>
      <w:r>
        <w:rPr>
          <w:rFonts w:ascii="Times New Roman" w:cs="Times New Roman" w:eastAsia="Times New Roman" w:hAnsi="Times New Roman"/>
          <w:sz w:val="18"/>
          <w:szCs w:val="18"/>
          <w:color w:val="auto"/>
        </w:rPr>
        <w:t>We also have Class A units representing limited partner interests (the “Class A units”) outstanding. The Class A units vote together with our common units, as a single class, on any matter for which the holders of common units are entitled to vote, except as required by law. Additionally, for so long as Kelcy Warren is an officer or a director of our general partner, upon the issuance by us of additional common units or any securities that have voting rights that are pari passu with our common units, we will issue to the holder of Class A units a number of additional Class A units such that the holder maintains a voting interest in us that is identical to its voting interest in us prior to such issuance. The Class A units are not entitled to distributions and otherwise have no economic attributes, except that the Class A units in the aggregate will be entitled to an aggregate $100 distribution prior and in preference to any distribution of assets to the holders of any other classes or series of our securities upon our liquidation, dissolution or winding up. The Class A units are not convertible into, or exchangeable for, common units. In addition to the other voting rights of the Class A units, without the approval of 66 2/3% of the Class A units, we may not take any action that disproportionately or materially adversely affects the rights, preferences or privileges of the Class A units or amend the terms of the Class A units. Without the prior approval of a conflicts committee of the board of directors of our general partner, the Class A units may not be transferred to any person or entity, other than to Kelcy Warren, Ray Davis or to any trust, family partnership or family limited liability company the sole beneficiaries, partners or members of which are Kelcy Warren, Ray Davis or their respective relatives.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jc w:val="both"/>
        <w:ind w:firstLine="441"/>
        <w:spacing w:after="0" w:line="237"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Delaware Act or any other law, rule or regulation. A proposed amendment will be effective upon its approval by the holders of a majority of the outstanding common units (a “unit majority”), unless a greater or different percentage is required under our partnership agreement or by Delaware law. Each proposed amendment that requires the approval of the holders of a</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specified percentage of outstanding units will be set forth in a writing 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Certain Amendments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partnership agreement provides that:</w:t>
      </w:r>
    </w:p>
    <w:p>
      <w:pPr>
        <w:spacing w:after="0" w:line="158" w:lineRule="exact"/>
        <w:rPr>
          <w:sz w:val="20"/>
          <w:szCs w:val="20"/>
          <w:color w:val="auto"/>
        </w:rPr>
      </w:pPr>
    </w:p>
    <w:p>
      <w:pPr>
        <w:jc w:val="both"/>
        <w:ind w:left="820" w:hanging="326"/>
        <w:spacing w:after="0"/>
        <w:tabs>
          <w:tab w:leader="none" w:pos="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30" w:lineRule="exact"/>
        <w:rPr>
          <w:rFonts w:ascii="Times New Roman" w:cs="Times New Roman" w:eastAsia="Times New Roman" w:hAnsi="Times New Roman"/>
          <w:sz w:val="18"/>
          <w:szCs w:val="18"/>
          <w:color w:val="auto"/>
        </w:rPr>
      </w:pPr>
    </w:p>
    <w:p>
      <w:pPr>
        <w:jc w:val="both"/>
        <w:ind w:left="820" w:hanging="326"/>
        <w:spacing w:after="0" w:line="245" w:lineRule="auto"/>
        <w:tabs>
          <w:tab w:leader="none" w:pos="8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26" w:lineRule="exact"/>
        <w:rPr>
          <w:rFonts w:ascii="Times New Roman" w:cs="Times New Roman" w:eastAsia="Times New Roman" w:hAnsi="Times New Roman"/>
          <w:sz w:val="18"/>
          <w:szCs w:val="18"/>
          <w:color w:val="auto"/>
        </w:rPr>
      </w:pPr>
    </w:p>
    <w:p>
      <w:pPr>
        <w:jc w:val="both"/>
        <w:ind w:left="820" w:hanging="326"/>
        <w:spacing w:after="0"/>
        <w:tabs>
          <w:tab w:leader="none" w:pos="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 or (d) change the term of our partnership or, except as set forth in the election to dissolve provision, give any person the right to dissolve our partnership;</w:t>
      </w:r>
    </w:p>
    <w:p>
      <w:pPr>
        <w:spacing w:after="0" w:line="117" w:lineRule="exact"/>
        <w:rPr>
          <w:rFonts w:ascii="Times New Roman" w:cs="Times New Roman" w:eastAsia="Times New Roman" w:hAnsi="Times New Roman"/>
          <w:sz w:val="18"/>
          <w:szCs w:val="18"/>
          <w:color w:val="auto"/>
        </w:rPr>
      </w:pPr>
    </w:p>
    <w:p>
      <w:pPr>
        <w:jc w:val="both"/>
        <w:ind w:left="820" w:hanging="326"/>
        <w:spacing w:after="0" w:line="245" w:lineRule="auto"/>
        <w:tabs>
          <w:tab w:leader="none" w:pos="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26" w:lineRule="exact"/>
        <w:rPr>
          <w:rFonts w:ascii="Times New Roman" w:cs="Times New Roman" w:eastAsia="Times New Roman" w:hAnsi="Times New Roman"/>
          <w:sz w:val="18"/>
          <w:szCs w:val="18"/>
          <w:color w:val="auto"/>
        </w:rPr>
      </w:pPr>
    </w:p>
    <w:p>
      <w:pPr>
        <w:jc w:val="both"/>
        <w:ind w:left="820" w:hanging="326"/>
        <w:spacing w:after="0" w:line="245" w:lineRule="auto"/>
        <w:tabs>
          <w:tab w:leader="none" w:pos="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 and</w:t>
      </w:r>
    </w:p>
    <w:p>
      <w:pPr>
        <w:spacing w:after="0" w:line="126" w:lineRule="exact"/>
        <w:rPr>
          <w:rFonts w:ascii="Times New Roman" w:cs="Times New Roman" w:eastAsia="Times New Roman" w:hAnsi="Times New Roman"/>
          <w:sz w:val="18"/>
          <w:szCs w:val="18"/>
          <w:color w:val="auto"/>
        </w:rPr>
      </w:pPr>
    </w:p>
    <w:p>
      <w:pPr>
        <w:ind w:left="820" w:hanging="326"/>
        <w:spacing w:after="0" w:line="266" w:lineRule="auto"/>
        <w:tabs>
          <w:tab w:leader="none" w:pos="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described below under “—No Unitholder Approval,” the provisions set forth in clauses (1) through (4) above may only be amended with the approval of the holders of at least 90% of the outstanding units.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Unitholder Approval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general partner, without the approval of any limited partner, may amend any provision of our partnership agreement to reflect:</w:t>
      </w:r>
    </w:p>
    <w:p>
      <w:pPr>
        <w:spacing w:after="0" w:line="158" w:lineRule="exact"/>
        <w:rPr>
          <w:sz w:val="20"/>
          <w:szCs w:val="20"/>
          <w:color w:val="auto"/>
        </w:rPr>
      </w:pPr>
    </w:p>
    <w:p>
      <w:pPr>
        <w:ind w:left="820" w:hanging="326"/>
        <w:spacing w:after="0"/>
        <w:tabs>
          <w:tab w:leader="none" w:pos="8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business, our registered agent or our registered office;</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withdrawal or removal of partners in accordance with our partnership agreement;</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26" w:lineRule="exact"/>
        <w:rPr>
          <w:sz w:val="20"/>
          <w:szCs w:val="20"/>
          <w:color w:val="auto"/>
        </w:rPr>
      </w:pPr>
    </w:p>
    <w:p>
      <w:pPr>
        <w:jc w:val="both"/>
        <w:ind w:left="326" w:hanging="326"/>
        <w:spacing w:after="0" w:line="250"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w:t>
      </w:r>
    </w:p>
    <w:p>
      <w:pPr>
        <w:spacing w:after="0" w:line="122" w:lineRule="exact"/>
        <w:rPr>
          <w:rFonts w:ascii="Times New Roman" w:cs="Times New Roman" w:eastAsia="Times New Roman" w:hAnsi="Times New Roman"/>
          <w:sz w:val="18"/>
          <w:szCs w:val="18"/>
          <w:color w:val="auto"/>
        </w:rPr>
      </w:pPr>
    </w:p>
    <w:p>
      <w:pPr>
        <w:jc w:val="both"/>
        <w:ind w:left="326" w:hanging="326"/>
        <w:spacing w:after="0" w:line="237"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Delaware Act)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w:t>
      </w:r>
    </w:p>
    <w:p>
      <w:pPr>
        <w:spacing w:after="0" w:line="131" w:lineRule="exact"/>
        <w:rPr>
          <w:rFonts w:ascii="Times New Roman" w:cs="Times New Roman" w:eastAsia="Times New Roman" w:hAnsi="Times New Roman"/>
          <w:sz w:val="18"/>
          <w:szCs w:val="18"/>
          <w:color w:val="auto"/>
        </w:rPr>
      </w:pPr>
    </w:p>
    <w:p>
      <w:pPr>
        <w:jc w:val="both"/>
        <w:ind w:left="326" w:hanging="326"/>
        <w:spacing w:after="0" w:line="250"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are to be made by us;</w:t>
      </w:r>
    </w:p>
    <w:p>
      <w:pPr>
        <w:spacing w:after="0" w:line="122" w:lineRule="exact"/>
        <w:rPr>
          <w:rFonts w:ascii="Times New Roman" w:cs="Times New Roman" w:eastAsia="Times New Roman" w:hAnsi="Times New Roman"/>
          <w:sz w:val="18"/>
          <w:szCs w:val="18"/>
          <w:color w:val="auto"/>
        </w:rPr>
      </w:pPr>
    </w:p>
    <w:p>
      <w:pPr>
        <w:jc w:val="both"/>
        <w:ind w:left="326" w:hanging="326"/>
        <w:spacing w:after="0" w:line="245"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26" w:lineRule="exact"/>
        <w:rPr>
          <w:rFonts w:ascii="Times New Roman" w:cs="Times New Roman" w:eastAsia="Times New Roman" w:hAnsi="Times New Roman"/>
          <w:sz w:val="18"/>
          <w:szCs w:val="18"/>
          <w:color w:val="auto"/>
        </w:rPr>
      </w:pPr>
    </w:p>
    <w:p>
      <w:pPr>
        <w:ind w:left="326" w:hanging="326"/>
        <w:spacing w:after="0" w:line="250"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an amendment that our general partner determines to be necessary or appropriate in connection with the authorization of issuance of any class or series of partnership securities pursuant to our partnership agreement;</w:t>
      </w:r>
    </w:p>
    <w:p>
      <w:pPr>
        <w:spacing w:after="0" w:line="12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partnership agreement to be made by our general partner acting alone;</w:t>
      </w:r>
    </w:p>
    <w:p>
      <w:pPr>
        <w:spacing w:after="0" w:line="157" w:lineRule="exact"/>
        <w:rPr>
          <w:rFonts w:ascii="Times New Roman" w:cs="Times New Roman" w:eastAsia="Times New Roman" w:hAnsi="Times New Roman"/>
          <w:sz w:val="18"/>
          <w:szCs w:val="18"/>
          <w:color w:val="auto"/>
        </w:rPr>
      </w:pPr>
    </w:p>
    <w:p>
      <w:pPr>
        <w:ind w:left="326" w:hanging="326"/>
        <w:spacing w:after="0" w:line="266" w:lineRule="auto"/>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the provisions of our partnership agreement;</w:t>
      </w:r>
    </w:p>
    <w:p>
      <w:pPr>
        <w:spacing w:after="0" w:line="108" w:lineRule="exact"/>
        <w:rPr>
          <w:rFonts w:ascii="Times New Roman" w:cs="Times New Roman" w:eastAsia="Times New Roman" w:hAnsi="Times New Roman"/>
          <w:sz w:val="18"/>
          <w:szCs w:val="18"/>
          <w:color w:val="auto"/>
        </w:rPr>
      </w:pPr>
    </w:p>
    <w:p>
      <w:pPr>
        <w:jc w:val="both"/>
        <w:ind w:left="326" w:hanging="326"/>
        <w:spacing w:after="0" w:line="250" w:lineRule="auto"/>
        <w:tabs>
          <w:tab w:leader="none" w:pos="3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w:t>
      </w:r>
    </w:p>
    <w:p>
      <w:pPr>
        <w:spacing w:after="0" w:line="122" w:lineRule="exact"/>
        <w:rPr>
          <w:rFonts w:ascii="Times New Roman" w:cs="Times New Roman" w:eastAsia="Times New Roman" w:hAnsi="Times New Roman"/>
          <w:sz w:val="18"/>
          <w:szCs w:val="18"/>
          <w:color w:val="auto"/>
        </w:rPr>
      </w:pPr>
    </w:p>
    <w:p>
      <w:pPr>
        <w:jc w:val="both"/>
        <w:ind w:left="326" w:hanging="326"/>
        <w:spacing w:after="0" w:line="241" w:lineRule="auto"/>
        <w:tabs>
          <w:tab w:leader="none" w:pos="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w:t>
      </w:r>
    </w:p>
    <w:p>
      <w:pPr>
        <w:spacing w:after="0" w:line="116"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ectPr>
          <w:pgSz w:w="11900" w:h="16838" w:orient="portrait"/>
          <w:cols w:equalWidth="0" w:num="1">
            <w:col w:w="10746"/>
          </w:cols>
          <w:pgMar w:left="814" w:top="1440" w:right="339" w:bottom="1440" w:gutter="0" w:footer="0" w:header="0"/>
        </w:sectPr>
      </w:pPr>
    </w:p>
    <w:bookmarkStart w:id="247" w:name="page248"/>
    <w:bookmarkEnd w:id="24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16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w:t>
      </w:r>
    </w:p>
    <w:p>
      <w:pPr>
        <w:spacing w:after="0" w:line="123"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 unitholders or we do not receive a withdrawal opinion of counsel regarding limited liability and tax matters, our partnership will be dissolved in accordance with our partnership agreement.</w:t>
      </w:r>
    </w:p>
    <w:p>
      <w:pPr>
        <w:spacing w:after="0" w:line="130"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w:t>
      </w:r>
    </w:p>
    <w:p>
      <w:pPr>
        <w:spacing w:after="0" w:line="127"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General Partner Interest</w:t>
      </w:r>
    </w:p>
    <w:p>
      <w:pPr>
        <w:spacing w:after="0" w:line="16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continue as a limited partnership until dissolved under our partnership agreement. We will dissolve upon:</w:t>
      </w:r>
    </w:p>
    <w:p>
      <w:pPr>
        <w:spacing w:after="0" w:line="158" w:lineRule="exact"/>
        <w:rPr>
          <w:sz w:val="20"/>
          <w:szCs w:val="20"/>
          <w:color w:val="auto"/>
        </w:rPr>
      </w:pPr>
    </w:p>
    <w:p>
      <w:pPr>
        <w:ind w:left="820" w:hanging="326"/>
        <w:spacing w:after="0" w:line="266" w:lineRule="auto"/>
        <w:tabs>
          <w:tab w:leader="none" w:pos="8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removal, bankruptcy or dissolution of our general partner, unless a successor general partner is elected prior to or on the effective date of such withdrawal, removal, bankruptcy or dissolution and a withdrawal opinion of counsel is received by us;</w:t>
      </w:r>
    </w:p>
    <w:p>
      <w:pPr>
        <w:spacing w:after="0" w:line="10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us by our general partner that is approved by the holders of a unit majority;</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us pursuant to the provisions of the Delaware Act; or</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exchange or other disposition of all or substantially all of the assets and properties of the partnership group.</w:t>
      </w:r>
    </w:p>
    <w:p>
      <w:pPr>
        <w:spacing w:after="0" w:line="158" w:lineRule="exact"/>
        <w:rPr>
          <w:sz w:val="20"/>
          <w:szCs w:val="20"/>
          <w:color w:val="auto"/>
        </w:rPr>
      </w:pPr>
    </w:p>
    <w:p>
      <w:pPr>
        <w:jc w:val="both"/>
        <w:ind w:firstLine="441"/>
        <w:spacing w:after="0" w:line="241" w:lineRule="auto"/>
        <w:rPr>
          <w:sz w:val="20"/>
          <w:szCs w:val="20"/>
          <w:color w:val="auto"/>
        </w:rPr>
      </w:pPr>
      <w:r>
        <w:rPr>
          <w:rFonts w:ascii="Times New Roman" w:cs="Times New Roman" w:eastAsia="Times New Roman" w:hAnsi="Times New Roman"/>
          <w:sz w:val="18"/>
          <w:szCs w:val="18"/>
          <w:color w:val="auto"/>
        </w:rPr>
        <w:t>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 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62"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 purchase all, but not less than all, of such limited partner interests of such class then outstanding held by persons other than our general partner and its affiliates. As a consequence, a unitholder may be required to sell his common units at an undesirable time or price.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firstLine="441"/>
        <w:spacing w:after="0" w:line="238" w:lineRule="auto"/>
        <w:rPr>
          <w:sz w:val="20"/>
          <w:szCs w:val="20"/>
          <w:color w:val="auto"/>
        </w:rPr>
      </w:pPr>
      <w:r>
        <w:rPr>
          <w:rFonts w:ascii="Times New Roman" w:cs="Times New Roman" w:eastAsia="Times New Roman" w:hAnsi="Times New Roman"/>
          <w:sz w:val="18"/>
          <w:szCs w:val="18"/>
          <w:color w:val="auto"/>
        </w:rPr>
        <w:t>Section 17-108 of the Delaware Act empowers a Delaware limited partnership to indemnify and hold harmless any partner or other person from and against all claims and demands whatsoever. Under our 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w:t>
      </w:r>
    </w:p>
    <w:p>
      <w:pPr>
        <w:spacing w:after="0" w:line="132" w:lineRule="exact"/>
        <w:rPr>
          <w:sz w:val="20"/>
          <w:szCs w:val="20"/>
          <w:color w:val="auto"/>
        </w:rPr>
      </w:pPr>
    </w:p>
    <w:p>
      <w:pPr>
        <w:ind w:left="660" w:hanging="166"/>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w:t>
      </w:r>
    </w:p>
    <w:p>
      <w:pPr>
        <w:spacing w:after="0" w:line="15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departing general partner;</w:t>
      </w:r>
    </w:p>
    <w:p>
      <w:pPr>
        <w:spacing w:after="0" w:line="15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affiliate of our general partner or any departing general partner;</w:t>
      </w:r>
    </w:p>
    <w:p>
      <w:pPr>
        <w:spacing w:after="0" w:line="157" w:lineRule="exact"/>
        <w:rPr>
          <w:rFonts w:ascii="Times New Roman" w:cs="Times New Roman" w:eastAsia="Times New Roman" w:hAnsi="Times New Roman"/>
          <w:sz w:val="18"/>
          <w:szCs w:val="18"/>
          <w:color w:val="auto"/>
        </w:rPr>
      </w:pPr>
    </w:p>
    <w:p>
      <w:pPr>
        <w:ind w:left="660" w:hanging="166"/>
        <w:spacing w:after="0" w:line="266"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 member, partner, officer, director, fiduciary or trustee of any member of the partnership group, our general partner or any departing partner or any affiliate of any member of the partnership group, our general partner or any departing partner;</w:t>
      </w:r>
    </w:p>
    <w:p>
      <w:pPr>
        <w:spacing w:after="0" w:line="108" w:lineRule="exact"/>
        <w:rPr>
          <w:rFonts w:ascii="Times New Roman" w:cs="Times New Roman" w:eastAsia="Times New Roman" w:hAnsi="Times New Roman"/>
          <w:sz w:val="18"/>
          <w:szCs w:val="18"/>
          <w:color w:val="auto"/>
        </w:rPr>
      </w:pPr>
    </w:p>
    <w:p>
      <w:pPr>
        <w:jc w:val="both"/>
        <w:ind w:left="660" w:hanging="166"/>
        <w:spacing w:after="0" w:line="250"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w:t>
      </w:r>
    </w:p>
    <w:p>
      <w:pPr>
        <w:spacing w:after="0" w:line="10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our general partner designates as an “indemnitee” for purposes of our partnership agreement.</w:t>
      </w:r>
    </w:p>
    <w:p>
      <w:pPr>
        <w:spacing w:after="0" w:line="158"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w:t>
      </w:r>
    </w:p>
    <w:p>
      <w:pPr>
        <w:spacing w:after="0" w:line="127"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w:t>
      </w:r>
    </w:p>
    <w:p>
      <w:pPr>
        <w:spacing w:after="0" w:line="12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opinion of the SEC, indemnification provisions that purport to include indemnification for liabilities arising under the Securities Act are contrary to public policy and are, therefore, unenforceable.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 w:lineRule="exact"/>
        <w:rPr>
          <w:sz w:val="20"/>
          <w:szCs w:val="20"/>
          <w:color w:val="auto"/>
        </w:rPr>
      </w:pPr>
    </w:p>
    <w:p>
      <w:pPr>
        <w:jc w:val="both"/>
        <w:ind w:firstLine="441"/>
        <w:spacing w:after="0" w:line="234"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ectPr>
          <w:pgSz w:w="11900" w:h="16838" w:orient="portrait"/>
          <w:cols w:equalWidth="0" w:num="1">
            <w:col w:w="11240"/>
          </w:cols>
          <w:pgMar w:left="320" w:top="1440" w:right="339" w:bottom="1440" w:gutter="0" w:footer="0" w:header="0"/>
        </w:sectPr>
      </w:pPr>
    </w:p>
    <w:bookmarkStart w:id="249" w:name="page250"/>
    <w:bookmarkEnd w:id="249"/>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distribute to our unitholders, within 50 days after the end of each quarter, all of our available cash in the manner described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Available Cash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Available cash generally means, for any calendar quarter, all cash on hand at the end of such quarter:</w:t>
      </w:r>
    </w:p>
    <w:p>
      <w:pPr>
        <w:spacing w:after="0" w:line="156" w:lineRule="exact"/>
        <w:rPr>
          <w:sz w:val="20"/>
          <w:szCs w:val="20"/>
          <w:color w:val="auto"/>
        </w:rPr>
      </w:pPr>
    </w:p>
    <w:p>
      <w:pPr>
        <w:ind w:left="660" w:hanging="166"/>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the amount of cash that the general partner determines in good faith is necessary or appropriate to:</w:t>
      </w:r>
    </w:p>
    <w:p>
      <w:pPr>
        <w:spacing w:after="0" w:line="15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business;</w:t>
      </w:r>
    </w:p>
    <w:p>
      <w:pPr>
        <w:spacing w:after="0" w:line="144"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general, administrative and other expenses and debt service requirements;</w:t>
      </w:r>
    </w:p>
    <w:p>
      <w:pPr>
        <w:spacing w:after="0" w:line="157"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of our debt instruments or other agreements;</w:t>
      </w:r>
    </w:p>
    <w:p>
      <w:pPr>
        <w:spacing w:after="0" w:line="157"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our unitholders and to our general partner for any one or more of the next four quarters; or</w:t>
      </w:r>
    </w:p>
    <w:p>
      <w:pPr>
        <w:spacing w:after="0" w:line="157"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on our outstanding preferred units and Class B units;</w:t>
      </w:r>
    </w:p>
    <w:p>
      <w:pPr>
        <w:spacing w:after="0" w:line="15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all cash on hand on the date of determination of available cash for the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of Cash Upon Liquidation</w:t>
      </w:r>
    </w:p>
    <w:p>
      <w:pPr>
        <w:spacing w:after="0" w:line="160"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unitholder will have any obligation to restore any negative balance in its capital account upon liquidation of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to Preferred Unitholders</w:t>
      </w:r>
    </w:p>
    <w:p>
      <w:pPr>
        <w:spacing w:after="0" w:line="146"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Prior to making any distributions to the unitholders as described above, the holders of our preferred units are entitled to receive, when, as, and if declared by our general partner out of legally available funds for such purpose, cumulative quarterly cash distributions. Unless otherwise determined by our general partner, distributions on the ET preferred units are deemed to have been paid out of available cash with respect to the quarter ended immediately preceding the quarter in which the distribution is made.</w:t>
      </w:r>
    </w:p>
    <w:p>
      <w:pPr>
        <w:spacing w:after="0" w:line="12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Distributions on each class of ET preferred units are subject to an initial fixed distribution rate for a specified term, followed by a floating or reset distribution rate, as applicable, to extend thereafter until all outstanding ET preferred units of that class are redeemed.</w:t>
      </w:r>
    </w:p>
    <w:p>
      <w:pPr>
        <w:spacing w:after="0" w:line="108"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6.250% Series A Fixed-to-Floating Rate Cumulative Redeemable Perpetual Preferred Units have an initial distribution rate of 6.250% of the Series A liquidation preference of $1,000 per Series A preferred unit (the “Series A Liquidation Preference”) until February 14, 2023 and, thereafter, distributions will accumulate for each distribution period at a percentage of the Series A Liquidation Preference equal to an annual floating rate of the three-month LIBOR, or a successor rate, plus a spread of 4.028% per annum.</w:t>
      </w:r>
    </w:p>
    <w:p>
      <w:pPr>
        <w:spacing w:after="0" w:line="127" w:lineRule="exact"/>
        <w:rPr>
          <w:sz w:val="20"/>
          <w:szCs w:val="20"/>
          <w:color w:val="auto"/>
        </w:rPr>
      </w:pPr>
    </w:p>
    <w:p>
      <w:pPr>
        <w:jc w:val="both"/>
        <w:ind w:firstLine="441"/>
        <w:spacing w:after="0"/>
        <w:rPr>
          <w:sz w:val="20"/>
          <w:szCs w:val="20"/>
          <w:color w:val="auto"/>
        </w:rPr>
      </w:pPr>
      <w:r>
        <w:rPr>
          <w:rFonts w:ascii="Times New Roman" w:cs="Times New Roman" w:eastAsia="Times New Roman" w:hAnsi="Times New Roman"/>
          <w:sz w:val="18"/>
          <w:szCs w:val="18"/>
          <w:color w:val="auto"/>
        </w:rPr>
        <w:t>The 6.625% Series B Fixed-to-Floating Rate Cumulative Redeemable Perpetual Preferred Units have an initial distribution rate of 6.625% of the Series B liquidation preference of $1,000 per Series B preferred unit (the “Series B Liquidation Preference”) until February 14, 2028 and, thereafter, distributions will accumulate for each distribution period at a percentage of the Series B Liquidation Preference equal to an annual floating rate of the three-month LIBOR, or a successor rate, plus a spread of 4.155% per annum.</w:t>
      </w:r>
    </w:p>
    <w:p>
      <w:pPr>
        <w:sectPr>
          <w:pgSz w:w="11900" w:h="16838" w:orient="portrait"/>
          <w:cols w:equalWidth="0" w:num="1">
            <w:col w:w="11240"/>
          </w:cols>
          <w:pgMar w:left="320" w:top="1400" w:right="339" w:bottom="1440" w:gutter="0" w:footer="0" w:header="0"/>
        </w:sectPr>
      </w:pPr>
    </w:p>
    <w:bookmarkStart w:id="250" w:name="page251"/>
    <w:bookmarkEnd w:id="250"/>
    <w:p>
      <w:pPr>
        <w:spacing w:after="0" w:line="126"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7.375% Series C Fixed-to-Floating Rate Cumulative Redeemable Perpetual Preferred Units have an initial distribution rate of 7.375% of the Series C liquidation preference of $25.00 per Series C preferred unit (the “Series C Liquidation Preference”) until May 14, 2023 and, thereafter, distributions will accumulate for each distribution period at a percentage of the Series C Liquidation Preference equal to an annual floating rate of the three-month LIBOR, or a successor rate, plus a spread of 4.530% per annum.</w:t>
      </w:r>
    </w:p>
    <w:p>
      <w:pPr>
        <w:spacing w:after="0" w:line="127" w:lineRule="exact"/>
        <w:rPr>
          <w:sz w:val="20"/>
          <w:szCs w:val="20"/>
          <w:color w:val="auto"/>
        </w:rPr>
      </w:pPr>
    </w:p>
    <w:p>
      <w:pPr>
        <w:jc w:val="both"/>
        <w:ind w:firstLine="441"/>
        <w:spacing w:after="0"/>
        <w:rPr>
          <w:sz w:val="20"/>
          <w:szCs w:val="20"/>
          <w:color w:val="auto"/>
        </w:rPr>
      </w:pPr>
      <w:r>
        <w:rPr>
          <w:rFonts w:ascii="Times New Roman" w:cs="Times New Roman" w:eastAsia="Times New Roman" w:hAnsi="Times New Roman"/>
          <w:sz w:val="18"/>
          <w:szCs w:val="18"/>
          <w:color w:val="auto"/>
        </w:rPr>
        <w:t>The 7.625% Series D Fixed-to-Floating Rate Cumulative Redeemable Perpetual Preferred Units have an initial distribution rate of 7.625% of the Series D liquidation preference of $25.00 per Series D preferred unit (the “Series D Liquidation Preference”) until August 14, 2023 and, thereafter, distributions will accumulate for each distribution period at a percentage of the Series D Liquidation Preference equal to an annual floating rate of the three-month LIBOR, or a successor rate, plus a spread of 4.738% per annum.</w:t>
      </w:r>
    </w:p>
    <w:p>
      <w:pPr>
        <w:spacing w:after="0" w:line="131"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7.600% Series E Fixed-to-Floating Rate Cumulative Redeemable Perpetual Preferred Units have an initial distribution rate of 7.600% of the Series E liquidation preference of $25.00 per Series E preferred unit (the “Series E Liquidation Preference”) until May 15, 2024 and, thereafter, distributions will accumulate for each distribution period at a percentage of the Series E Liquidation Preference equal to an annual floating rate of the three-month LIBOR, or a successor rate, plus a spread of 5.161% per annum.</w:t>
      </w:r>
    </w:p>
    <w:p>
      <w:pPr>
        <w:spacing w:after="0" w:line="127"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6.750% Series F Fixed-Rate Reset Cumulative Redeemable Perpetual Preferred Units have an initial distribution rate of 6.750% of the Series F liquidation preference of $1,000 per Series F preferred unit (the “Series F Liquidation Preference”) until May 15, 2025 and, thereafter, distributions will accumulate for each distribution period at a percentage of the Series D Liquidation Preference equal to the Five-year U.S. Treasury Rate as of the most recent Series F Reset Distribution Determination Date plus a spread of 5.134% per annum.</w:t>
      </w:r>
    </w:p>
    <w:p>
      <w:pPr>
        <w:spacing w:after="0" w:line="127"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7.125% Series G Fixed-Rate Reset Cumulative Redeemable Perpetual Preferred Units have an initial distribution rate of 7.125% of the Series G liquidation preference of $1,000 per Series G preferred unit (the “Series G Liquidation Preference”) until May 15, 2030 and, thereafter, distributions will accumulate for each distribution period at a percentage of the Series G Liquidation Preference equal to the Five-year U.S. Treasury Rate as of the most recent Series G Reset Distribution Determination Date plus a spread of 5.306% per annum.</w:t>
      </w:r>
    </w:p>
    <w:p>
      <w:pPr>
        <w:spacing w:after="0" w:line="113"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The 6.500% Series H Fixed-Rate Reset Cumulative Redeemable Perpetual Preferred Units have an initial distribution rate of 6.500% of the Series H liquidation preference of $1,000 per Series H preferred unit (the “Series H Liquidation Preference”) until November 15, 2026 and, thereafter, distributions will accumulate for each distribution period at a percentage of the Series H Liquidation Preference equal to the Five-year U.S. Treasury Rate as of the most recent Series H Reset Distribution Determination Date plus a spread of 5.694% per annum.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to Other Units</w:t>
      </w:r>
    </w:p>
    <w:p>
      <w:pPr>
        <w:spacing w:after="0" w:line="160"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Our partnership agreement provides that each Class B unit is entitled to a quarterly cash distribution in an amount equal to $0.35325 per Class B unit. If we are unable to pay the Class B unit quarterly distribution with respect to any quarter, (i) the amount of such accrued and unpaid distributions will accumulate until paid in full in cash and (ii) the balance of such accrued and unpaid distributions shall increase at a rate of 1.5% per annum, compounded quarterly, from the date such distribution was due until the date it is paid.</w:t>
      </w:r>
    </w:p>
    <w:p>
      <w:pPr>
        <w:sectPr>
          <w:pgSz w:w="11900" w:h="16838" w:orient="portrait"/>
          <w:cols w:equalWidth="0" w:num="1">
            <w:col w:w="11240"/>
          </w:cols>
          <w:pgMar w:left="320" w:top="1440"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ENERGY TRANSFER LP, a Delaware limited partnership:</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Aqua-ETC Water Solutions,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Arguelles Pipeline, S. De R.L. De C.V., a Mexico SRL</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Atoka Midstream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Bakken Holdings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Bakken Pipeline Investments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Bayou Bridge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Bayview Refining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BBP Construction Management,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Blue Marlin Offshore Port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Buffalo Gulf Coast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Buffalo Parent Gulf Coast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Chalkley Gathering Company,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Citrus ETP Finance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Citrus,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Clean Air Action Corporation,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Coastal Caverns, Inc., a Texas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Comanche Trail Pipeline,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Cowboy Gas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CrossCountry Citrus,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Crosspoint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Dakota Access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Dakota Access Truck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Dakota Access,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DAL-TEX Consulting,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DAPL-ETCO Construction Management,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DAPL-ETCO Operations Management,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Dual Drive Technologies, Ltd., a Texas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Edwards Lime Gathering,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ELG Oil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ELG Utility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Ark-La-Tex Gathering &amp; Processing,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Atoka, LLC, an Oklahoma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Bakken Crude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Energy Resources, LLC, an Oklahoma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Gas Gathering, LLC, an Oklahoma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Gas Transmission,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Gathering &amp; Processing, LLC, an Oklahoma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GP,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Midstream Partners, LP, a Delaware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Midstream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Mississippi River Transmission,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Enable Muskogee Intrastate Transmission, LLC, a Delaware limited liability company</w:t>
      </w:r>
    </w:p>
    <w:p>
      <w:pPr>
        <w:sectPr>
          <w:pgSz w:w="11900" w:h="16838" w:orient="portrait"/>
          <w:cols w:equalWidth="0" w:num="1">
            <w:col w:w="11240"/>
          </w:cols>
          <w:pgMar w:left="320" w:top="887"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Enable Natural State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Oklahoma Crude Services,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Oklahoma Intrastate Transmission,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Pine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Products, LLC, an Oklahoma limited liability company</w:t>
      </w:r>
    </w:p>
    <w:p>
      <w:pPr>
        <w:spacing w:after="0" w:line="44" w:lineRule="exact"/>
        <w:rPr>
          <w:sz w:val="20"/>
          <w:szCs w:val="20"/>
          <w:color w:val="auto"/>
        </w:rPr>
      </w:pPr>
    </w:p>
    <w:p>
      <w:pPr>
        <w:ind w:right="3659"/>
        <w:spacing w:after="0" w:line="295" w:lineRule="auto"/>
        <w:rPr>
          <w:sz w:val="20"/>
          <w:szCs w:val="20"/>
          <w:color w:val="auto"/>
        </w:rPr>
      </w:pPr>
      <w:r>
        <w:rPr>
          <w:rFonts w:ascii="Times New Roman" w:cs="Times New Roman" w:eastAsia="Times New Roman" w:hAnsi="Times New Roman"/>
          <w:sz w:val="21"/>
          <w:szCs w:val="21"/>
          <w:color w:val="auto"/>
        </w:rPr>
        <w:t>Enable South Central Pipeline, LLC, a Delaware limited liability company Enable Waskom Holdings, LLC, a Delaware limited liability company</w:t>
      </w:r>
    </w:p>
    <w:p>
      <w:pPr>
        <w:spacing w:after="0"/>
        <w:rPr>
          <w:sz w:val="20"/>
          <w:szCs w:val="20"/>
          <w:color w:val="auto"/>
        </w:rPr>
      </w:pPr>
      <w:r>
        <w:rPr>
          <w:rFonts w:ascii="Times New Roman" w:cs="Times New Roman" w:eastAsia="Times New Roman" w:hAnsi="Times New Roman"/>
          <w:sz w:val="21"/>
          <w:szCs w:val="21"/>
          <w:color w:val="auto"/>
        </w:rPr>
        <w:t>Energy Transfer (Beijing) Energy Technology Co., Ltd., a Chinese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(R&amp;M), LLC, a Pennsylvania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Aviation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Marketing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Oil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Trucking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Data Center,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Employee Management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Fuel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Fuel,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Assets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Development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Fractionators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Marine Facilities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Marketing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Pipelines LP, a Delaware limited partnership</w:t>
      </w:r>
    </w:p>
    <w:p>
      <w:pPr>
        <w:spacing w:after="0" w:line="44" w:lineRule="exact"/>
        <w:rPr>
          <w:sz w:val="20"/>
          <w:szCs w:val="20"/>
          <w:color w:val="auto"/>
        </w:rPr>
      </w:pPr>
    </w:p>
    <w:p>
      <w:pPr>
        <w:ind w:right="2559"/>
        <w:spacing w:after="0" w:line="281" w:lineRule="auto"/>
        <w:rPr>
          <w:sz w:val="20"/>
          <w:szCs w:val="20"/>
          <w:color w:val="auto"/>
        </w:rPr>
      </w:pPr>
      <w:r>
        <w:rPr>
          <w:rFonts w:ascii="Times New Roman" w:cs="Times New Roman" w:eastAsia="Times New Roman" w:hAnsi="Times New Roman"/>
          <w:sz w:val="22"/>
          <w:szCs w:val="22"/>
          <w:color w:val="auto"/>
        </w:rPr>
        <w:t>Energy Transfer GC NGL Product Services LLC, a Delaware limited liability company Energy Transfer GC NGLs LLC, a Delaware limited liability company</w:t>
      </w:r>
    </w:p>
    <w:p>
      <w:pPr>
        <w:spacing w:after="0" w:line="2" w:lineRule="exact"/>
        <w:rPr>
          <w:sz w:val="20"/>
          <w:szCs w:val="20"/>
          <w:color w:val="auto"/>
        </w:rPr>
      </w:pPr>
    </w:p>
    <w:p>
      <w:pPr>
        <w:ind w:right="3459"/>
        <w:spacing w:after="0" w:line="295" w:lineRule="auto"/>
        <w:rPr>
          <w:sz w:val="20"/>
          <w:szCs w:val="20"/>
          <w:color w:val="auto"/>
        </w:rPr>
      </w:pPr>
      <w:r>
        <w:rPr>
          <w:rFonts w:ascii="Times New Roman" w:cs="Times New Roman" w:eastAsia="Times New Roman" w:hAnsi="Times New Roman"/>
          <w:sz w:val="21"/>
          <w:szCs w:val="21"/>
          <w:color w:val="auto"/>
        </w:rPr>
        <w:t>Energy Transfer Geismar Olefins LLC, a Delaware limited liability company Energy Transfer Group, L.L.C., a Texas limited liability company</w:t>
      </w:r>
    </w:p>
    <w:p>
      <w:pPr>
        <w:ind w:right="2919"/>
        <w:spacing w:after="0" w:line="281" w:lineRule="auto"/>
        <w:rPr>
          <w:sz w:val="20"/>
          <w:szCs w:val="20"/>
          <w:color w:val="auto"/>
        </w:rPr>
      </w:pPr>
      <w:r>
        <w:rPr>
          <w:rFonts w:ascii="Times New Roman" w:cs="Times New Roman" w:eastAsia="Times New Roman" w:hAnsi="Times New Roman"/>
          <w:sz w:val="22"/>
          <w:szCs w:val="22"/>
          <w:color w:val="auto"/>
        </w:rPr>
        <w:t>Energy Transfer Hattiesburg NGLs LLC, a Delaware limited liability company Energy Transfer International Holdings LLC, a Delaware limited liability company Energy Transfer Interstate Holdings, LLC, a Delaware limited liability company Energy Transfer Latin America, S. De R.L., epublico f Panama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LNG Export,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Low-Carbon Development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Marketing &amp; Terminals L.P.,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Mexicana,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 Pipelines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Nederland Terminal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Operations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Panama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Partners, L.L.C., a Delaware limited liability company</w:t>
      </w:r>
    </w:p>
    <w:p>
      <w:pPr>
        <w:spacing w:after="0" w:line="44" w:lineRule="exact"/>
        <w:rPr>
          <w:sz w:val="20"/>
          <w:szCs w:val="20"/>
          <w:color w:val="auto"/>
        </w:rPr>
      </w:pPr>
    </w:p>
    <w:p>
      <w:pPr>
        <w:ind w:right="2739"/>
        <w:spacing w:after="0" w:line="295" w:lineRule="auto"/>
        <w:rPr>
          <w:sz w:val="20"/>
          <w:szCs w:val="20"/>
          <w:color w:val="auto"/>
        </w:rPr>
      </w:pPr>
      <w:r>
        <w:rPr>
          <w:rFonts w:ascii="Times New Roman" w:cs="Times New Roman" w:eastAsia="Times New Roman" w:hAnsi="Times New Roman"/>
          <w:sz w:val="21"/>
          <w:szCs w:val="21"/>
          <w:color w:val="auto"/>
        </w:rPr>
        <w:t>Energy Transfer Petrochemical Holdings, LLC, a Delaware limited liability company Energy Transfer Retail Power, LLC, a Delaware limited liability company</w:t>
      </w:r>
    </w:p>
    <w:p>
      <w:pPr>
        <w:spacing w:after="0"/>
        <w:rPr>
          <w:sz w:val="20"/>
          <w:szCs w:val="20"/>
          <w:color w:val="auto"/>
        </w:rPr>
      </w:pPr>
      <w:r>
        <w:rPr>
          <w:rFonts w:ascii="Times New Roman" w:cs="Times New Roman" w:eastAsia="Times New Roman" w:hAnsi="Times New Roman"/>
          <w:sz w:val="22"/>
          <w:szCs w:val="22"/>
          <w:color w:val="auto"/>
        </w:rPr>
        <w:t>Energy Transfer Sea Robin Processing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Spindletop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Transport, LLC, a Pennsylvania limited liability company</w:t>
      </w:r>
    </w:p>
    <w:p>
      <w:pPr>
        <w:sectPr>
          <w:pgSz w:w="11900" w:h="16838" w:orient="portrait"/>
          <w:cols w:equalWidth="0" w:num="1">
            <w:col w:w="10119"/>
          </w:cols>
          <w:pgMar w:left="340" w:top="1044"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ET C&amp;D Holdco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CC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COAM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Crude Oil Terminals,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Crude Operating,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Crude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Finance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Insurance Canada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Intrastate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Rover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SCOOP Express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Southern Oklahoma,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TexLa Oasis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Champ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China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Compression,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Endure Energy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Fayetteville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ETC Fayetteville Operating Company,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Haynesville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Hydrocarbons,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ETC Intrastate Procurement Company,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Katy Pipeline, LLC,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Marketing, Ltd., a Texas limited partnership</w:t>
      </w:r>
    </w:p>
    <w:p>
      <w:pPr>
        <w:spacing w:after="0" w:line="44" w:lineRule="exact"/>
        <w:rPr>
          <w:sz w:val="20"/>
          <w:szCs w:val="20"/>
          <w:color w:val="auto"/>
        </w:rPr>
      </w:pPr>
    </w:p>
    <w:p>
      <w:pPr>
        <w:ind w:right="2979"/>
        <w:spacing w:after="0" w:line="281" w:lineRule="auto"/>
        <w:rPr>
          <w:sz w:val="20"/>
          <w:szCs w:val="20"/>
          <w:color w:val="auto"/>
        </w:rPr>
      </w:pPr>
      <w:r>
        <w:rPr>
          <w:rFonts w:ascii="Times New Roman" w:cs="Times New Roman" w:eastAsia="Times New Roman" w:hAnsi="Times New Roman"/>
          <w:sz w:val="22"/>
          <w:szCs w:val="22"/>
          <w:color w:val="auto"/>
        </w:rPr>
        <w:t>ETC Midcontinent Express Pipeline, L.L.C., a Delaware limited liability company ETC NGL Transport,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Northeast Field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Northeast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PennTex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Production LLC, a Delaware limited liability company</w:t>
      </w:r>
    </w:p>
    <w:p>
      <w:pPr>
        <w:spacing w:after="0" w:line="44" w:lineRule="exact"/>
        <w:rPr>
          <w:sz w:val="20"/>
          <w:szCs w:val="20"/>
          <w:color w:val="auto"/>
        </w:rPr>
      </w:pPr>
    </w:p>
    <w:p>
      <w:pPr>
        <w:ind w:right="4039"/>
        <w:spacing w:after="0" w:line="281" w:lineRule="auto"/>
        <w:rPr>
          <w:sz w:val="20"/>
          <w:szCs w:val="20"/>
          <w:color w:val="auto"/>
        </w:rPr>
      </w:pPr>
      <w:r>
        <w:rPr>
          <w:rFonts w:ascii="Times New Roman" w:cs="Times New Roman" w:eastAsia="Times New Roman" w:hAnsi="Times New Roman"/>
          <w:sz w:val="22"/>
          <w:szCs w:val="22"/>
          <w:color w:val="auto"/>
        </w:rPr>
        <w:t>ETC Sunoco Holdings LLC, a Pennsylvania limited liability company ETC Texas Pipeline, Ltd., a Texas limited partnership</w:t>
      </w:r>
    </w:p>
    <w:p>
      <w:pPr>
        <w:spacing w:after="0" w:line="2" w:lineRule="exact"/>
        <w:rPr>
          <w:sz w:val="20"/>
          <w:szCs w:val="20"/>
          <w:color w:val="auto"/>
        </w:rPr>
      </w:pPr>
    </w:p>
    <w:p>
      <w:pPr>
        <w:ind w:right="4599"/>
        <w:spacing w:after="0" w:line="295" w:lineRule="auto"/>
        <w:rPr>
          <w:sz w:val="20"/>
          <w:szCs w:val="20"/>
          <w:color w:val="auto"/>
        </w:rPr>
      </w:pPr>
      <w:r>
        <w:rPr>
          <w:rFonts w:ascii="Times New Roman" w:cs="Times New Roman" w:eastAsia="Times New Roman" w:hAnsi="Times New Roman"/>
          <w:sz w:val="21"/>
          <w:szCs w:val="21"/>
          <w:color w:val="auto"/>
        </w:rPr>
        <w:t>ETC Tiger Pipeline, LLC, a Delaware limited liability company ETCO Holdings LLC, a Delaware limited liability company</w:t>
      </w:r>
    </w:p>
    <w:p>
      <w:pPr>
        <w:spacing w:after="0"/>
        <w:rPr>
          <w:sz w:val="20"/>
          <w:szCs w:val="20"/>
          <w:color w:val="auto"/>
        </w:rPr>
      </w:pPr>
      <w:r>
        <w:rPr>
          <w:rFonts w:ascii="Times New Roman" w:cs="Times New Roman" w:eastAsia="Times New Roman" w:hAnsi="Times New Roman"/>
          <w:sz w:val="22"/>
          <w:szCs w:val="22"/>
          <w:color w:val="auto"/>
        </w:rPr>
        <w:t>ETE Services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ETMT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ETP Crude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ETP Holdco Corporation, 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Assurance,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Capital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Remediation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Resources Group,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Explorer Pipeline Company, 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Fayetteville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 Gas Transmission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Gradyco Real Estate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Gulf Run Transmission, LLC, a Delaware limited liability company</w:t>
      </w:r>
    </w:p>
    <w:p>
      <w:pPr>
        <w:sectPr>
          <w:pgSz w:w="11900" w:h="16838" w:orient="portrait"/>
          <w:cols w:equalWidth="0" w:num="1">
            <w:col w:w="10119"/>
          </w:cols>
          <w:pgMar w:left="340" w:top="1044" w:right="1440" w:bottom="1440" w:gutter="0" w:footer="0" w:header="0"/>
        </w:sectPr>
      </w:pPr>
    </w:p>
    <w:bookmarkStart w:id="254" w:name="page255"/>
    <w:bookmarkEnd w:id="254"/>
    <w:p>
      <w:pPr>
        <w:ind w:right="4639"/>
        <w:spacing w:after="0" w:line="281" w:lineRule="auto"/>
        <w:rPr>
          <w:sz w:val="20"/>
          <w:szCs w:val="20"/>
          <w:color w:val="auto"/>
        </w:rPr>
      </w:pPr>
      <w:r>
        <w:rPr>
          <w:rFonts w:ascii="Times New Roman" w:cs="Times New Roman" w:eastAsia="Times New Roman" w:hAnsi="Times New Roman"/>
          <w:sz w:val="22"/>
          <w:szCs w:val="22"/>
          <w:color w:val="auto"/>
        </w:rPr>
        <w:t>Helios Assurance Company, Limited, a Limited Bermuda other HFOTCO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Pipe Line Company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Asset Holdings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Leaseco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Resources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Storage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Inland Corporation, an Ohio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J.C. Nolan Pipeline 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J.C. Nolan Terminal 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 Sun Oil Company, Ltd., a Japan other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Kanawha Rail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 GP,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 Grange Acquisition, L.P., a Texas limited partnership</w:t>
      </w:r>
    </w:p>
    <w:p>
      <w:pPr>
        <w:spacing w:after="0" w:line="44" w:lineRule="exact"/>
        <w:rPr>
          <w:sz w:val="20"/>
          <w:szCs w:val="20"/>
          <w:color w:val="auto"/>
        </w:rPr>
      </w:pPr>
    </w:p>
    <w:p>
      <w:pPr>
        <w:ind w:right="3899"/>
        <w:spacing w:after="0" w:line="295" w:lineRule="auto"/>
        <w:rPr>
          <w:sz w:val="20"/>
          <w:szCs w:val="20"/>
          <w:color w:val="auto"/>
        </w:rPr>
      </w:pPr>
      <w:r>
        <w:rPr>
          <w:rFonts w:ascii="Times New Roman" w:cs="Times New Roman" w:eastAsia="Times New Roman" w:hAnsi="Times New Roman"/>
          <w:sz w:val="21"/>
          <w:szCs w:val="21"/>
          <w:color w:val="auto"/>
        </w:rPr>
        <w:t>Lake Charles Exports, LLC, a Delaware limited liability company Lake Charles LNG Company, LLC, Delaware limited liability company</w:t>
      </w:r>
    </w:p>
    <w:p>
      <w:pPr>
        <w:spacing w:after="0"/>
        <w:rPr>
          <w:sz w:val="20"/>
          <w:szCs w:val="20"/>
          <w:color w:val="auto"/>
        </w:rPr>
      </w:pPr>
      <w:r>
        <w:rPr>
          <w:rFonts w:ascii="Times New Roman" w:cs="Times New Roman" w:eastAsia="Times New Roman" w:hAnsi="Times New Roman"/>
          <w:sz w:val="21"/>
          <w:szCs w:val="21"/>
          <w:color w:val="auto"/>
        </w:rPr>
        <w:t>Lake Charles LNG Export Company,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 8 Storage Partnership,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LG PL,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LGM,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Pipeline Group,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Libre Insurance Company, Ltd., a Bermuda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LJL, LLC, a West Virginia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Loadout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Lobo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Handling Solutions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Maurepas Holding,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Maurepas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 Vida JV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 Valley Pipeline Company LLC, an Ohio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Midcontinent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Midwest Connector Capital Company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Oasis Pipeline, LP, a Texas limited partnership</w:t>
      </w:r>
    </w:p>
    <w:p>
      <w:pPr>
        <w:spacing w:after="0" w:line="44" w:lineRule="exact"/>
        <w:rPr>
          <w:sz w:val="20"/>
          <w:szCs w:val="20"/>
          <w:color w:val="auto"/>
        </w:rPr>
      </w:pPr>
    </w:p>
    <w:p>
      <w:pPr>
        <w:ind w:right="4679"/>
        <w:spacing w:after="0" w:line="281" w:lineRule="auto"/>
        <w:rPr>
          <w:sz w:val="20"/>
          <w:szCs w:val="20"/>
          <w:color w:val="auto"/>
        </w:rPr>
      </w:pPr>
      <w:r>
        <w:rPr>
          <w:rFonts w:ascii="Times New Roman" w:cs="Times New Roman" w:eastAsia="Times New Roman" w:hAnsi="Times New Roman"/>
          <w:sz w:val="22"/>
          <w:szCs w:val="22"/>
          <w:color w:val="auto"/>
        </w:rPr>
        <w:t>Ohio River System LLC, a Delaware limited liability company Oil Casualty Insurance, Ltd., a Bermuda Limited Company Oil Insurance Limited, Bermuda limited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Old Ocean Pipeline, LLC, a Texas limited liability company</w:t>
      </w:r>
    </w:p>
    <w:p>
      <w:pPr>
        <w:spacing w:after="0" w:line="44" w:lineRule="exact"/>
        <w:rPr>
          <w:sz w:val="20"/>
          <w:szCs w:val="20"/>
          <w:color w:val="auto"/>
        </w:rPr>
      </w:pPr>
    </w:p>
    <w:p>
      <w:pPr>
        <w:ind w:right="3599"/>
        <w:spacing w:after="0" w:line="281" w:lineRule="auto"/>
        <w:rPr>
          <w:sz w:val="20"/>
          <w:szCs w:val="20"/>
          <w:color w:val="auto"/>
        </w:rPr>
      </w:pPr>
      <w:r>
        <w:rPr>
          <w:rFonts w:ascii="Times New Roman" w:cs="Times New Roman" w:eastAsia="Times New Roman" w:hAnsi="Times New Roman"/>
          <w:sz w:val="22"/>
          <w:szCs w:val="22"/>
          <w:color w:val="auto"/>
        </w:rPr>
        <w:t>Orbit Gulf Coast NGL Exports, LLC, a Delaware limited liability company Pan Gas Storage LLC, 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Panhandle Eastern Pipe Line Company,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Panhandle Storage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Pelico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 Virginia Operating 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PEPL Real Estate,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Permian Express Partners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Permian Express Partners Operating LLC, a Texas limited liability company</w:t>
      </w:r>
    </w:p>
    <w:p>
      <w:pPr>
        <w:sectPr>
          <w:pgSz w:w="11900" w:h="16838" w:orient="portrait"/>
          <w:cols w:equalWidth="0" w:num="1">
            <w:col w:w="10119"/>
          </w:cols>
          <w:pgMar w:left="340" w:top="1044" w:right="1440" w:bottom="1440" w:gutter="0" w:footer="0" w:header="0"/>
        </w:sectPr>
      </w:pPr>
    </w:p>
    <w:bookmarkStart w:id="255" w:name="page256"/>
    <w:bookmarkEnd w:id="255"/>
    <w:p>
      <w:pPr>
        <w:ind w:right="4039"/>
        <w:spacing w:after="0" w:line="281" w:lineRule="auto"/>
        <w:rPr>
          <w:sz w:val="20"/>
          <w:szCs w:val="20"/>
          <w:color w:val="auto"/>
        </w:rPr>
      </w:pPr>
      <w:r>
        <w:rPr>
          <w:rFonts w:ascii="Times New Roman" w:cs="Times New Roman" w:eastAsia="Times New Roman" w:hAnsi="Times New Roman"/>
          <w:sz w:val="22"/>
          <w:szCs w:val="22"/>
          <w:color w:val="auto"/>
        </w:rPr>
        <w:t>Permian Express Terminal LLC, a Delaware limited liability company PES Energy Inc., a Delaware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PES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PG Energy LLC, a Pennsylvania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Energy Solutions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Philadelphia Energy Solutions Refining and Marketing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Pine Pipeline Acquisition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Pipe Sky,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River Terminal,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Bluff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Employees Management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Energy Finance Corp., 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Energy Partners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GP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Intrastate Gas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Marcellus Gas Gathering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Texas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Rose Rock Midstream Crude,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Rover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RSS Water Services LLC, a Delaware limited liability company</w:t>
      </w:r>
    </w:p>
    <w:p>
      <w:pPr>
        <w:spacing w:after="0" w:line="44" w:lineRule="exact"/>
        <w:rPr>
          <w:sz w:val="20"/>
          <w:szCs w:val="20"/>
          <w:color w:val="auto"/>
        </w:rPr>
      </w:pPr>
    </w:p>
    <w:p>
      <w:pPr>
        <w:ind w:right="3739"/>
        <w:spacing w:after="0" w:line="281" w:lineRule="auto"/>
        <w:rPr>
          <w:sz w:val="20"/>
          <w:szCs w:val="20"/>
          <w:color w:val="auto"/>
        </w:rPr>
      </w:pPr>
      <w:r>
        <w:rPr>
          <w:rFonts w:ascii="Times New Roman" w:cs="Times New Roman" w:eastAsia="Times New Roman" w:hAnsi="Times New Roman"/>
          <w:sz w:val="22"/>
          <w:szCs w:val="22"/>
          <w:color w:val="auto"/>
        </w:rPr>
        <w:t>Sea Robin Pipeline Company, LLC, a Delaware limited liability company SEC Energy Products &amp; Services, L.P., a Texas limited partnership SEC General Holdings, LLC, a Texas limited liability company SemEnergy S. de R.L. de C.V.</w:t>
      </w:r>
    </w:p>
    <w:p>
      <w:pPr>
        <w:spacing w:after="0" w:line="3" w:lineRule="exact"/>
        <w:rPr>
          <w:sz w:val="20"/>
          <w:szCs w:val="20"/>
          <w:color w:val="auto"/>
        </w:rPr>
      </w:pPr>
    </w:p>
    <w:p>
      <w:pPr>
        <w:ind w:right="4279"/>
        <w:spacing w:after="0" w:line="285" w:lineRule="auto"/>
        <w:rPr>
          <w:sz w:val="20"/>
          <w:szCs w:val="20"/>
          <w:color w:val="auto"/>
        </w:rPr>
      </w:pPr>
      <w:r>
        <w:rPr>
          <w:rFonts w:ascii="Times New Roman" w:cs="Times New Roman" w:eastAsia="Times New Roman" w:hAnsi="Times New Roman"/>
          <w:sz w:val="22"/>
          <w:szCs w:val="22"/>
          <w:color w:val="auto"/>
        </w:rPr>
        <w:t>SemGreen, L.P., a Delaware limited partnership SemGroup Energy S. de R.L. de C.V. SemGroup Mexico S. de R.L. de C.V. SemGroup Netherlands B.V., a Dutch company SemGroup Netherlands I B.V., a Dutch company SemManagement L.L.C., a Delaware limited liability company SemMaterials, L.P., an Oklahoma limited partnership SemMexico, L.L.C., an Oklahoma limited liability company SemOperating G.P., L.L.C., an Oklahoma limited liability company SESH Capital, LLC, a Delaware limited liability company SESH Sub Inc., a Delaware corporation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Southeast Supply Header,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Southern Union Gas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Southern Union Panhandle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Starfish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Stingray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 Pipe 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Sunoco GP LLC, a Delaware limited liability company</w:t>
      </w:r>
    </w:p>
    <w:p>
      <w:pPr>
        <w:spacing w:after="0" w:line="44" w:lineRule="exact"/>
        <w:rPr>
          <w:sz w:val="20"/>
          <w:szCs w:val="20"/>
          <w:color w:val="auto"/>
        </w:rPr>
      </w:pPr>
    </w:p>
    <w:p>
      <w:pPr>
        <w:ind w:right="3739"/>
        <w:spacing w:after="0" w:line="281" w:lineRule="auto"/>
        <w:rPr>
          <w:sz w:val="20"/>
          <w:szCs w:val="20"/>
          <w:color w:val="auto"/>
        </w:rPr>
      </w:pPr>
      <w:r>
        <w:rPr>
          <w:rFonts w:ascii="Times New Roman" w:cs="Times New Roman" w:eastAsia="Times New Roman" w:hAnsi="Times New Roman"/>
          <w:sz w:val="22"/>
          <w:szCs w:val="22"/>
          <w:color w:val="auto"/>
        </w:rPr>
        <w:t>Sunoco Logistics Partners GP LLC, a Delaware limited liability company Sunoco LP, a Delaware limited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Sunoco Midland Terminal LLC, a Texas limited liability company</w:t>
      </w:r>
    </w:p>
    <w:p>
      <w:pPr>
        <w:sectPr>
          <w:pgSz w:w="11900" w:h="16838" w:orient="portrait"/>
          <w:cols w:equalWidth="0" w:num="1">
            <w:col w:w="10119"/>
          </w:cols>
          <w:pgMar w:left="340" w:top="1044" w:right="1440" w:bottom="1440" w:gutter="0" w:footer="0" w:header="0"/>
        </w:sectPr>
      </w:pPr>
    </w:p>
    <w:bookmarkStart w:id="256" w:name="page257"/>
    <w:bookmarkEnd w:id="256"/>
    <w:p>
      <w:pPr>
        <w:ind w:left="20" w:right="2659"/>
        <w:spacing w:after="0" w:line="281" w:lineRule="auto"/>
        <w:rPr>
          <w:sz w:val="20"/>
          <w:szCs w:val="20"/>
          <w:color w:val="auto"/>
        </w:rPr>
      </w:pPr>
      <w:r>
        <w:rPr>
          <w:rFonts w:ascii="Times New Roman" w:cs="Times New Roman" w:eastAsia="Times New Roman" w:hAnsi="Times New Roman"/>
          <w:sz w:val="22"/>
          <w:szCs w:val="22"/>
          <w:color w:val="auto"/>
        </w:rPr>
        <w:t>Sunoco Partners Lease Acquisition &amp; Marketing LLC, a Delaware limited partnership Sunoco Pipeline L.P., a Texas limited partnership</w:t>
      </w:r>
    </w:p>
    <w:p>
      <w:pPr>
        <w:spacing w:after="0" w:line="2" w:lineRule="exact"/>
        <w:rPr>
          <w:sz w:val="20"/>
          <w:szCs w:val="20"/>
          <w:color w:val="auto"/>
        </w:rPr>
      </w:pPr>
    </w:p>
    <w:p>
      <w:pPr>
        <w:ind w:left="20" w:right="4979"/>
        <w:spacing w:after="0" w:line="281" w:lineRule="auto"/>
        <w:rPr>
          <w:sz w:val="20"/>
          <w:szCs w:val="20"/>
          <w:color w:val="auto"/>
        </w:rPr>
      </w:pPr>
      <w:r>
        <w:rPr>
          <w:rFonts w:ascii="Times New Roman" w:cs="Times New Roman" w:eastAsia="Times New Roman" w:hAnsi="Times New Roman"/>
          <w:sz w:val="22"/>
          <w:szCs w:val="22"/>
          <w:color w:val="auto"/>
        </w:rPr>
        <w:t>Sweeney Gathering, L.P., a Texas limited liability company TETC, LLC, a Texas limited liability company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Texas Energy Transfer Company, Ltd., a Texas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Texas Energy Transfer Power,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Energy Transfer/Sunoco Foundation, a Pennsylvania non-profit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Toney Fork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Trans-Pecos Pipeline,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Transwestern Pipeline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Triton Gathering,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Field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Gas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LNG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USA Compression GP,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USA Compression Management Services, LLC, a Delaware limited liability company</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Warrior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Waskom Gas Processing Company, a Texas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Waskom Transmission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Wattenberg Holding, LLC, an Oklahoma limited liability company</w:t>
      </w:r>
    </w:p>
    <w:p>
      <w:pPr>
        <w:spacing w:after="0" w:line="44" w:lineRule="exact"/>
        <w:rPr>
          <w:sz w:val="20"/>
          <w:szCs w:val="20"/>
          <w:color w:val="auto"/>
        </w:rPr>
      </w:pPr>
    </w:p>
    <w:p>
      <w:pPr>
        <w:ind w:left="20" w:right="2819"/>
        <w:spacing w:after="0" w:line="281" w:lineRule="auto"/>
        <w:rPr>
          <w:sz w:val="20"/>
          <w:szCs w:val="20"/>
          <w:color w:val="auto"/>
        </w:rPr>
      </w:pPr>
      <w:r>
        <w:rPr>
          <w:rFonts w:ascii="Times New Roman" w:cs="Times New Roman" w:eastAsia="Times New Roman" w:hAnsi="Times New Roman"/>
          <w:sz w:val="22"/>
          <w:szCs w:val="22"/>
          <w:color w:val="auto"/>
        </w:rPr>
        <w:t>West Cameron Dehydration Company, L.L.C., a Delaware limited liability company West Shore Pipe Line Company, a Delaware corporation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West Texas Gulf Pipe Line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Westex Energy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WGP-KHC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White Cliffs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Wolverine Pipe Line Company,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Woodford Express,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Yellowstone Pipe Line Company,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SUNOCO LP, a Delaware limited partnership:</w:t>
      </w:r>
    </w:p>
    <w:p>
      <w:pPr>
        <w:spacing w:after="0" w:line="166" w:lineRule="exact"/>
        <w:rPr>
          <w:sz w:val="20"/>
          <w:szCs w:val="20"/>
          <w:color w:val="auto"/>
        </w:rPr>
      </w:pPr>
    </w:p>
    <w:p>
      <w:pPr>
        <w:ind w:left="20" w:right="4859"/>
        <w:spacing w:after="0" w:line="281" w:lineRule="auto"/>
        <w:rPr>
          <w:sz w:val="20"/>
          <w:szCs w:val="20"/>
          <w:color w:val="auto"/>
        </w:rPr>
      </w:pPr>
      <w:r>
        <w:rPr>
          <w:rFonts w:ascii="Times New Roman" w:cs="Times New Roman" w:eastAsia="Times New Roman" w:hAnsi="Times New Roman"/>
          <w:sz w:val="22"/>
          <w:szCs w:val="22"/>
          <w:color w:val="auto"/>
        </w:rPr>
        <w:t>Aloha Petroleum LLC, a Delaware limited liability company Aloha Petroleum, Ltd., a Hawaii Corporation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Eco-Products Manufacturing of Puerto Rico Inc., a Puerto Rico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Fathom Global Energy FT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Fathom Global Energy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J.C. Nolan Pipeline 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J.C. Nolan Terminal 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Peerless Oil &amp; Chemicals, Inc,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Peerless Oil Company (Puerto Rico), Inc., a Puerto Rico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LP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LP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Lubricants and Specialty Products Inc., a Quebec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Sunmarks,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Midstream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Energy Solutions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Finance Corp.,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NLR LLC, a Delaware limited liability company</w:t>
      </w:r>
    </w:p>
    <w:p>
      <w:pPr>
        <w:sectPr>
          <w:pgSz w:w="11900" w:h="16838" w:orient="portrait"/>
          <w:cols w:equalWidth="0" w:num="1">
            <w:col w:w="10139"/>
          </w:cols>
          <w:pgMar w:left="320" w:top="1044" w:right="1440" w:bottom="1058" w:gutter="0" w:footer="0" w:header="0"/>
        </w:sectPr>
      </w:pPr>
    </w:p>
    <w:bookmarkStart w:id="257" w:name="page258"/>
    <w:bookmarkEnd w:id="257"/>
    <w:p>
      <w:pPr>
        <w:ind w:left="20"/>
        <w:spacing w:after="0"/>
        <w:rPr>
          <w:sz w:val="20"/>
          <w:szCs w:val="20"/>
          <w:color w:val="auto"/>
        </w:rPr>
      </w:pPr>
      <w:r>
        <w:rPr>
          <w:rFonts w:ascii="Times New Roman" w:cs="Times New Roman" w:eastAsia="Times New Roman" w:hAnsi="Times New Roman"/>
          <w:sz w:val="22"/>
          <w:szCs w:val="22"/>
          <w:color w:val="auto"/>
        </w:rPr>
        <w:t>Sunoco Overseas, Inc.,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Refined Products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Retail LLC, a Pennsylvania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Town &amp; Country Food Stores, Inc., a Texas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USA COMPRESSION PARTNERS, LP, a Delaware limited partnership:</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USA Compression Finance Corp., a Delaware corporation</w:t>
      </w:r>
    </w:p>
    <w:p>
      <w:pPr>
        <w:spacing w:after="0" w:line="44" w:lineRule="exact"/>
        <w:rPr>
          <w:sz w:val="20"/>
          <w:szCs w:val="20"/>
          <w:color w:val="auto"/>
        </w:rPr>
      </w:pPr>
    </w:p>
    <w:p>
      <w:pPr>
        <w:ind w:left="20" w:right="3879"/>
        <w:spacing w:after="0" w:line="309" w:lineRule="auto"/>
        <w:rPr>
          <w:sz w:val="20"/>
          <w:szCs w:val="20"/>
          <w:color w:val="auto"/>
        </w:rPr>
      </w:pPr>
      <w:r>
        <w:rPr>
          <w:rFonts w:ascii="Times New Roman" w:cs="Times New Roman" w:eastAsia="Times New Roman" w:hAnsi="Times New Roman"/>
          <w:sz w:val="22"/>
          <w:szCs w:val="22"/>
          <w:color w:val="auto"/>
        </w:rPr>
        <w:t>USA Compression Partners, LLC, a Delaware limited liability company USAC Leasing, LLC, a Delaware limited liability company</w:t>
      </w:r>
    </w:p>
    <w:p>
      <w:pPr>
        <w:sectPr>
          <w:pgSz w:w="11900" w:h="16838" w:orient="portrait"/>
          <w:cols w:equalWidth="0" w:num="1">
            <w:col w:w="10139"/>
          </w:cols>
          <w:pgMar w:left="320" w:top="1044" w:right="144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issued our reports dated February 17, 2023, with respect to the consolidated financial statements and internal control over financial reporting included in the Annual Report of Energy Transfer LP on Form 10-K for the year ended December 31, 2022. We consent to the incorporation by reference of said reports in the Registration Statements of Energy Transfer LP on Forms S-3 (File No. 333-261503, File No. 333-228737, File No. 333-215969, File No. 333-215893, File No. 333-146300, and File No. 333-256668), and on Forms S-8 (File No. 333-229456, File No. 333-251923, and File No. 333-261502).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ectPr>
          <w:pgSz w:w="11900" w:h="16838" w:orient="portrait"/>
          <w:cols w:equalWidth="0" w:num="1">
            <w:col w:w="11240"/>
          </w:cols>
          <w:pgMar w:left="320" w:top="887"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3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6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887"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67">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Thomas E. Long</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887"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Dylan Bramhall, certify that:</w:t>
      </w:r>
    </w:p>
    <w:p>
      <w:pPr>
        <w:spacing w:after="0" w:line="171" w:lineRule="exact"/>
        <w:rPr>
          <w:sz w:val="20"/>
          <w:szCs w:val="20"/>
          <w:color w:val="auto"/>
        </w:rPr>
      </w:pPr>
    </w:p>
    <w:p>
      <w:pPr>
        <w:ind w:left="980" w:hanging="648"/>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3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6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Group Chief Financial Officer</w:t>
      </w:r>
    </w:p>
    <w:p>
      <w:pPr>
        <w:sectPr>
          <w:pgSz w:w="11900" w:h="16838" w:orient="portrait"/>
          <w:cols w:equalWidth="0" w:num="1">
            <w:col w:w="11240"/>
          </w:cols>
          <w:pgMar w:left="320" w:top="887"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2022,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3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6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87"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2022,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43033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7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Thomas E. Long</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1413"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2022, as filed with the Securities and Exchange Commission on the date hereof (the “Report”), I, Dylan Bramhall, Chief Financial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2023</w:t>
      </w:r>
    </w:p>
    <w:p>
      <w:pPr>
        <w:spacing w:after="0" w:line="3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7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lvl w:ilvl="1">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1)"/>
      <w:numFmt w:val="decimal"/>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1)"/>
      <w:numFmt w:val="decimal"/>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1)"/>
      <w:numFmt w:val="decimal"/>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1)"/>
      <w:numFmt w:val="decimal"/>
      <w:start w:val="1"/>
    </w:lvl>
  </w:abstractNum>
  <w:abstractNum w:abstractNumId="67">
    <w:nsid w:val="5675FF36"/>
    <w:multiLevelType w:val="hybridMultilevel"/>
    <w:lvl w:ilvl="0">
      <w:lvlJc w:val="left"/>
      <w:lvlText w:val="(%1)"/>
      <w:numFmt w:val="decimal"/>
      <w:start w:val="2"/>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lvl w:ilvl="1">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1)"/>
      <w:numFmt w:val="decimal"/>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1)"/>
      <w:numFmt w:val="decimal"/>
      <w:start w:val="1"/>
    </w:lvl>
  </w:abstractNum>
  <w:abstractNum w:abstractNumId="85">
    <w:nsid w:val="5EC6AFD4"/>
    <w:multiLevelType w:val="hybridMultilevel"/>
    <w:lvl w:ilvl="0">
      <w:lvlJc w:val="left"/>
      <w:lvlText w:val="(%1)"/>
      <w:numFmt w:val="decimal"/>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1)"/>
      <w:numFmt w:val="decimal"/>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1)"/>
      <w:numFmt w:val="decimal"/>
      <w:start w:val="1"/>
    </w:lvl>
  </w:abstractNum>
  <w:abstractNum w:abstractNumId="94">
    <w:nsid w:val="704E1DD5"/>
    <w:multiLevelType w:val="hybridMultilevel"/>
    <w:lvl w:ilvl="0">
      <w:lvlJc w:val="left"/>
      <w:lvlText w:val="(%1)"/>
      <w:numFmt w:val="decimal"/>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1)"/>
      <w:numFmt w:val="decimal"/>
      <w:start w:val="1"/>
    </w:lvl>
  </w:abstractNum>
  <w:abstractNum w:abstractNumId="102">
    <w:nsid w:val="24F6AB8E"/>
    <w:multiLevelType w:val="hybridMultilevel"/>
    <w:lvl w:ilvl="0">
      <w:lvlJc w:val="left"/>
      <w:lvlText w:val="(%1)"/>
      <w:numFmt w:val="decimal"/>
      <w:start w:val="1"/>
    </w:lvl>
  </w:abstractNum>
  <w:abstractNum w:abstractNumId="103">
    <w:nsid w:val="634C574C"/>
    <w:multiLevelType w:val="hybridMultilevel"/>
    <w:lvl w:ilvl="0">
      <w:lvlJc w:val="left"/>
      <w:lvlText w:val="(%1)"/>
      <w:numFmt w:val="decimal"/>
      <w:start w:val="1"/>
    </w:lvl>
    <w:lvl w:ilvl="1">
      <w:lvlJc w:val="left"/>
      <w:lvlText w:val="•"/>
      <w:numFmt w:val="bullet"/>
      <w:start w:val="1"/>
    </w:lvl>
  </w:abstractNum>
  <w:abstractNum w:abstractNumId="104">
    <w:nsid w:val="24E99DD7"/>
    <w:multiLevelType w:val="hybridMultilevel"/>
    <w:lvl w:ilvl="0">
      <w:lvlJc w:val="left"/>
      <w:lvlText w:val="(%1)"/>
      <w:numFmt w:val="decimal"/>
      <w:start w:val="3"/>
    </w:lvl>
  </w:abstractNum>
  <w:abstractNum w:abstractNumId="105">
    <w:nsid w:val="2A31B62D"/>
    <w:multiLevelType w:val="hybridMultilevel"/>
    <w:lvl w:ilvl="0">
      <w:lvlJc w:val="left"/>
      <w:lvlText w:val="(%1)"/>
      <w:numFmt w:val="decimal"/>
      <w:start w:val="1"/>
    </w:lvl>
  </w:abstractNum>
  <w:abstractNum w:abstractNumId="106">
    <w:nsid w:val="1849C29B"/>
    <w:multiLevelType w:val="hybridMultilevel"/>
    <w:lvl w:ilvl="0">
      <w:lvlJc w:val="left"/>
      <w:lvlText w:val="(%1)"/>
      <w:numFmt w:val="decimal"/>
      <w:start w:val="1"/>
    </w:lvl>
  </w:abstractNum>
  <w:abstractNum w:abstractNumId="107">
    <w:nsid w:val="7DFF9D09"/>
    <w:multiLevelType w:val="hybridMultilevel"/>
    <w:lvl w:ilvl="0">
      <w:lvlJc w:val="left"/>
      <w:lvlText w:val="(%1)"/>
      <w:numFmt w:val="lowerRoman"/>
      <w:start w:val="3"/>
    </w:lvl>
  </w:abstractNum>
  <w:abstractNum w:abstractNumId="108">
    <w:nsid w:val="754342"/>
    <w:multiLevelType w:val="hybridMultilevel"/>
    <w:lvl w:ilvl="0">
      <w:lvlJc w:val="left"/>
      <w:lvlText w:val="%1."/>
      <w:numFmt w:val="decimal"/>
      <w:start w:val="1"/>
    </w:lvl>
  </w:abstractNum>
  <w:abstractNum w:abstractNumId="109">
    <w:nsid w:val="69E7F3E5"/>
    <w:multiLevelType w:val="hybridMultilevel"/>
    <w:lvl w:ilvl="0">
      <w:lvlJc w:val="left"/>
      <w:lvlText w:val="%1."/>
      <w:numFmt w:val="decimal"/>
      <w:start w:val="5"/>
    </w:lvl>
  </w:abstractNum>
  <w:abstractNum w:abstractNumId="110">
    <w:nsid w:val="2A6DE806"/>
    <w:multiLevelType w:val="hybridMultilevel"/>
    <w:lvl w:ilvl="0">
      <w:lvlJc w:val="left"/>
      <w:lvlText w:val="(%1)"/>
      <w:numFmt w:val="decimal"/>
      <w:start w:val="1"/>
    </w:lvl>
  </w:abstractNum>
  <w:abstractNum w:abstractNumId="111">
    <w:nsid w:val="1816F8C4"/>
    <w:multiLevelType w:val="hybridMultilevel"/>
    <w:lvl w:ilvl="0">
      <w:lvlJc w:val="left"/>
      <w:lvlText w:val="(%1)"/>
      <w:numFmt w:val="decimal"/>
      <w:start w:val="1"/>
    </w:lvl>
  </w:abstractNum>
  <w:abstractNum w:abstractNumId="112">
    <w:nsid w:val="37DF2233"/>
    <w:multiLevelType w:val="hybridMultilevel"/>
    <w:lvl w:ilvl="0">
      <w:lvlJc w:val="left"/>
      <w:lvlText w:val="(%1)"/>
      <w:numFmt w:val="decimal"/>
      <w:start w:val="3"/>
    </w:lvl>
  </w:abstractNum>
  <w:abstractNum w:abstractNumId="113">
    <w:nsid w:val="7AB49DAF"/>
    <w:multiLevelType w:val="hybridMultilevel"/>
    <w:lvl w:ilvl="0">
      <w:lvlJc w:val="left"/>
      <w:lvlText w:val="(%1)"/>
      <w:numFmt w:val="decimal"/>
      <w:start w:val="7"/>
    </w:lvl>
  </w:abstractNum>
  <w:abstractNum w:abstractNumId="114">
    <w:nsid w:val="759F82CD"/>
    <w:multiLevelType w:val="hybridMultilevel"/>
    <w:lvl w:ilvl="0">
      <w:lvlJc w:val="left"/>
      <w:lvlText w:val="(%1)"/>
      <w:numFmt w:val="decimal"/>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1."/>
      <w:numFmt w:val="lowerLetter"/>
      <w:start w:val="1"/>
    </w:lvl>
    <w:lvl w:ilvl="1">
      <w:lvlJc w:val="left"/>
      <w:lvlText w:val="%2."/>
      <w:numFmt w:val="lowerRoman"/>
      <w:start w:val="1"/>
    </w:lvl>
  </w:abstractNum>
  <w:abstractNum w:abstractNumId="120">
    <w:nsid w:val="631B64D4"/>
    <w:multiLevelType w:val="hybridMultilevel"/>
    <w:lvl w:ilvl="0">
      <w:lvlJc w:val="left"/>
      <w:lvlText w:val="%1."/>
      <w:numFmt w:val="decimal"/>
      <w:start w:val="1"/>
    </w:lvl>
    <w:lvl w:ilvl="1">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1."/>
      <w:numFmt w:val="decimal"/>
      <w:start w:val="2"/>
    </w:lvl>
  </w:abstractNum>
  <w:abstractNum w:abstractNumId="123">
    <w:nsid w:val="6E534CDE"/>
    <w:multiLevelType w:val="hybridMultilevel"/>
    <w:lvl w:ilvl="0">
      <w:lvlJc w:val="left"/>
      <w:lvlText w:val="%1."/>
      <w:numFmt w:val="decimal"/>
      <w:start w:val="3"/>
    </w:lvl>
  </w:abstractNum>
  <w:abstractNum w:abstractNumId="124">
    <w:nsid w:val="1A0DDE32"/>
    <w:multiLevelType w:val="hybridMultilevel"/>
    <w:lvl w:ilvl="0">
      <w:lvlJc w:val="left"/>
      <w:lvlText w:val="%1"/>
      <w:numFmt w:val="decimal"/>
      <w:start w:val="1"/>
    </w:lvl>
    <w:lvl w:ilvl="1">
      <w:lvlJc w:val="left"/>
      <w:lvlText w:val="(%2)"/>
      <w:numFmt w:val="decimal"/>
      <w:start w:val="1"/>
    </w:lvl>
  </w:abstractNum>
  <w:abstractNum w:abstractNumId="125">
    <w:nsid w:val="65968C1C"/>
    <w:multiLevelType w:val="hybridMultilevel"/>
    <w:lvl w:ilvl="0">
      <w:lvlJc w:val="left"/>
      <w:lvlText w:val="%1."/>
      <w:numFmt w:val="decimal"/>
      <w:start w:val="4"/>
    </w:lvl>
    <w:lvl w:ilvl="1">
      <w:lvlJc w:val="left"/>
      <w:lvlText w:val="%2"/>
      <w:numFmt w:val="decimal"/>
      <w:start w:val="1"/>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1."/>
      <w:numFmt w:val="decimal"/>
      <w:start w:val="5"/>
    </w:lvl>
  </w:abstractNum>
  <w:abstractNum w:abstractNumId="128">
    <w:nsid w:val="73D4D3C4"/>
    <w:multiLevelType w:val="hybridMultilevel"/>
    <w:lvl w:ilvl="0">
      <w:lvlJc w:val="left"/>
      <w:lvlText w:val="%1."/>
      <w:numFmt w:val="decimal"/>
      <w:start w:val="6"/>
    </w:lvl>
  </w:abstractNum>
  <w:abstractNum w:abstractNumId="129">
    <w:nsid w:val="746F2E30"/>
    <w:multiLevelType w:val="hybridMultilevel"/>
    <w:lvl w:ilvl="0">
      <w:lvlJc w:val="left"/>
      <w:lvlText w:val="(%1)"/>
      <w:numFmt w:val="decimal"/>
      <w:start w:val="3"/>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1."/>
      <w:numFmt w:val="decimal"/>
      <w:start w:val="7"/>
    </w:lvl>
  </w:abstractNum>
  <w:abstractNum w:abstractNumId="134">
    <w:nsid w:val="230F856C"/>
    <w:multiLevelType w:val="hybridMultilevel"/>
    <w:lvl w:ilvl="0">
      <w:lvlJc w:val="left"/>
      <w:lvlText w:val="%1."/>
      <w:numFmt w:val="decimal"/>
      <w:start w:val="8"/>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1."/>
      <w:numFmt w:val="decimal"/>
      <w:start w:val="9"/>
    </w:lvl>
  </w:abstractNum>
  <w:abstractNum w:abstractNumId="139">
    <w:nsid w:val="3F7C2FF4"/>
    <w:multiLevelType w:val="hybridMultilevel"/>
    <w:lvl w:ilvl="0">
      <w:lvlJc w:val="left"/>
      <w:lvlText w:val="%1."/>
      <w:numFmt w:val="decimal"/>
      <w:start w:val="10"/>
    </w:lvl>
  </w:abstractNum>
  <w:abstractNum w:abstractNumId="140">
    <w:nsid w:val="25413BEC"/>
    <w:multiLevelType w:val="hybridMultilevel"/>
    <w:lvl w:ilvl="0">
      <w:lvlJc w:val="left"/>
      <w:lvlText w:val="%1."/>
      <w:numFmt w:val="decimal"/>
      <w:start w:val="1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1."/>
      <w:numFmt w:val="decimal"/>
      <w:start w:val="12"/>
    </w:lvl>
    <w:lvl w:ilvl="1">
      <w:lvlJc w:val="left"/>
      <w:lvlText w:val="•"/>
      <w:numFmt w:val="bullet"/>
      <w:start w:val="1"/>
    </w:lvl>
    <w:lvl w:ilvl="2">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1."/>
      <w:numFmt w:val="decimal"/>
      <w:start w:val="12"/>
    </w:lvl>
    <w:lvl w:ilvl="1">
      <w:lvlJc w:val="left"/>
      <w:lvlText w:val="•"/>
      <w:numFmt w:val="bullet"/>
      <w:start w:val="1"/>
    </w:lvl>
  </w:abstractNum>
  <w:abstractNum w:abstractNumId="146">
    <w:nsid w:val="3F07ACC3"/>
    <w:multiLevelType w:val="hybridMultilevel"/>
    <w:lvl w:ilvl="0">
      <w:lvlJc w:val="left"/>
      <w:lvlText w:val="%1."/>
      <w:numFmt w:val="decimal"/>
      <w:start w:val="14"/>
    </w:lvl>
  </w:abstractNum>
  <w:abstractNum w:abstractNumId="147">
    <w:nsid w:val="6B47F63E"/>
    <w:multiLevelType w:val="hybridMultilevel"/>
    <w:lvl w:ilvl="0">
      <w:lvlJc w:val="left"/>
      <w:lvlText w:val="(%1)"/>
      <w:numFmt w:val="decimal"/>
      <w:start w:val="1"/>
    </w:lvl>
  </w:abstractNum>
  <w:abstractNum w:abstractNumId="148">
    <w:nsid w:val="5CB44A05"/>
    <w:multiLevelType w:val="hybridMultilevel"/>
    <w:lvl w:ilvl="0">
      <w:lvlJc w:val="left"/>
      <w:lvlText w:val="(%1)"/>
      <w:numFmt w:val="decimal"/>
      <w:start w:val="1"/>
    </w:lvl>
  </w:abstractNum>
  <w:abstractNum w:abstractNumId="149">
    <w:nsid w:val="16CF80F1"/>
    <w:multiLevelType w:val="hybridMultilevel"/>
    <w:lvl w:ilvl="0">
      <w:lvlJc w:val="left"/>
      <w:lvlText w:val="%1."/>
      <w:numFmt w:val="decimal"/>
      <w:start w:val="15"/>
    </w:lvl>
  </w:abstractNum>
  <w:abstractNum w:abstractNumId="150">
    <w:nsid w:val="1C695DEC"/>
    <w:multiLevelType w:val="hybridMultilevel"/>
    <w:lvl w:ilvl="0">
      <w:lvlJc w:val="left"/>
      <w:lvlText w:val="(%1)"/>
      <w:numFmt w:val="decimal"/>
      <w:start w:val="1"/>
    </w:lvl>
  </w:abstractNum>
  <w:abstractNum w:abstractNumId="151">
    <w:nsid w:val="3FCFAED9"/>
    <w:multiLevelType w:val="hybridMultilevel"/>
    <w:lvl w:ilvl="0">
      <w:lvlJc w:val="left"/>
      <w:lvlText w:val="(%1)"/>
      <w:numFmt w:val="decimal"/>
      <w:start w:val="1"/>
    </w:lvl>
  </w:abstractNum>
  <w:abstractNum w:abstractNumId="152">
    <w:nsid w:val="F856867"/>
    <w:multiLevelType w:val="hybridMultilevel"/>
    <w:lvl w:ilvl="0">
      <w:lvlJc w:val="left"/>
      <w:lvlText w:val="(%1)"/>
      <w:numFmt w:val="decimal"/>
      <w:start w:val="1"/>
    </w:lvl>
  </w:abstractNum>
  <w:abstractNum w:abstractNumId="153">
    <w:nsid w:val="11B1CC33"/>
    <w:multiLevelType w:val="hybridMultilevel"/>
    <w:lvl w:ilvl="0">
      <w:lvlJc w:val="left"/>
      <w:lvlText w:val="(%1)"/>
      <w:numFmt w:val="decimal"/>
      <w:start w:val="1"/>
    </w:lvl>
  </w:abstractNum>
  <w:abstractNum w:abstractNumId="154">
    <w:nsid w:val="2E22FBB7"/>
    <w:multiLevelType w:val="hybridMultilevel"/>
    <w:lvl w:ilvl="0">
      <w:lvlJc w:val="left"/>
      <w:lvlText w:val="%1."/>
      <w:numFmt w:val="decimal"/>
      <w:start w:val="16"/>
    </w:lvl>
    <w:lvl w:ilvl="1">
      <w:lvlJc w:val="left"/>
      <w:lvlText w:val="•"/>
      <w:numFmt w:val="bullet"/>
      <w:start w:val="1"/>
    </w:lvl>
  </w:abstractNum>
  <w:abstractNum w:abstractNumId="155">
    <w:nsid w:val="29934699"/>
    <w:multiLevelType w:val="hybridMultilevel"/>
    <w:lvl w:ilvl="0">
      <w:lvlJc w:val="left"/>
      <w:lvlText w:val="•"/>
      <w:numFmt w:val="bullet"/>
      <w:start w:val="1"/>
    </w:lvl>
  </w:abstractNum>
  <w:abstractNum w:abstractNumId="156">
    <w:nsid w:val="77485850"/>
    <w:multiLevelType w:val="hybridMultilevel"/>
    <w:lvl w:ilvl="0">
      <w:lvlJc w:val="left"/>
      <w:lvlText w:val="(%1)"/>
      <w:numFmt w:val="decimal"/>
      <w:start w:val="1"/>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
      <w:numFmt w:val="bullet"/>
      <w:start w:val="1"/>
    </w:lvl>
  </w:abstractNum>
  <w:abstractNum w:abstractNumId="159">
    <w:nsid w:val="6B1D2C14"/>
    <w:multiLevelType w:val="hybridMultilevel"/>
    <w:lvl w:ilvl="0">
      <w:lvlJc w:val="left"/>
      <w:lvlText w:val="•"/>
      <w:numFmt w:val="bullet"/>
      <w:start w:val="1"/>
    </w:lvl>
  </w:abstractNum>
  <w:abstractNum w:abstractNumId="160">
    <w:nsid w:val="68B867D3"/>
    <w:multiLevelType w:val="hybridMultilevel"/>
    <w:lvl w:ilvl="0">
      <w:lvlJc w:val="left"/>
      <w:lvlText w:val="•"/>
      <w:numFmt w:val="bullet"/>
      <w:start w:val="1"/>
    </w:lvl>
  </w:abstractNum>
  <w:abstractNum w:abstractNumId="161">
    <w:nsid w:val="3F7F5DD9"/>
    <w:multiLevelType w:val="hybridMultilevel"/>
    <w:lvl w:ilvl="0">
      <w:lvlJc w:val="left"/>
      <w:lvlText w:val="%1."/>
      <w:numFmt w:val="decimal"/>
      <w:start w:val="1"/>
    </w:lvl>
  </w:abstractNum>
  <w:abstractNum w:abstractNumId="162">
    <w:nsid w:val="2AE05A34"/>
    <w:multiLevelType w:val="hybridMultilevel"/>
    <w:lvl w:ilvl="0">
      <w:lvlJc w:val="left"/>
      <w:lvlText w:val="%1."/>
      <w:numFmt w:val="decimal"/>
      <w:start w:val="1"/>
    </w:lvl>
  </w:abstractNum>
  <w:abstractNum w:abstractNumId="163">
    <w:nsid w:val="32794FF7"/>
    <w:multiLevelType w:val="hybridMultilevel"/>
    <w:lvl w:ilvl="0">
      <w:lvlJc w:val="left"/>
      <w:lvlText w:val="%1."/>
      <w:numFmt w:val="decimal"/>
      <w:start w:val="3"/>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
      <w:numFmt w:val="bullet"/>
      <w:start w:val="1"/>
    </w:lvl>
    <w:lvl w:ilvl="1">
      <w:lvlJc w:val="left"/>
      <w:lvlText w:val="▪"/>
      <w:numFmt w:val="bullet"/>
      <w:start w:val="1"/>
    </w:lvl>
  </w:abstractNum>
  <w:abstractNum w:abstractNumId="167">
    <w:nsid w:val="135B8110"/>
    <w:multiLevelType w:val="hybridMultilevel"/>
    <w:lvl w:ilvl="0">
      <w:lvlJc w:val="left"/>
      <w:lvlText w:val="%1."/>
      <w:numFmt w:val="decimal"/>
      <w:start w:val="1"/>
    </w:lvl>
    <w:lvl w:ilvl="1">
      <w:lvlJc w:val="left"/>
      <w:lvlText w:val="%2."/>
      <w:numFmt w:val="lowerLetter"/>
      <w:start w:val="1"/>
    </w:lvl>
  </w:abstractNum>
  <w:abstractNum w:abstractNumId="168">
    <w:nsid w:val="94927A8"/>
    <w:multiLevelType w:val="hybridMultilevel"/>
    <w:lvl w:ilvl="0">
      <w:lvlJc w:val="left"/>
      <w:lvlText w:val="%1."/>
      <w:numFmt w:val="decimal"/>
      <w:start w:val="1"/>
    </w:lvl>
    <w:lvl w:ilvl="1">
      <w:lvlJc w:val="left"/>
      <w:lvlText w:val="%2."/>
      <w:numFmt w:val="lowerLetter"/>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76" Type="http://schemas.openxmlformats.org/officeDocument/2006/relationships/image" Target="media/image186.png"/><Relationship Id="rId277" Type="http://schemas.openxmlformats.org/officeDocument/2006/relationships/image" Target="media/image187.png"/><Relationship Id="rId302" Type="http://schemas.openxmlformats.org/officeDocument/2006/relationships/image" Target="media/image188.png"/><Relationship Id="rId303" Type="http://schemas.openxmlformats.org/officeDocument/2006/relationships/image" Target="media/image189.png"/><Relationship Id="rId326" Type="http://schemas.openxmlformats.org/officeDocument/2006/relationships/image" Target="media/image190.png"/><Relationship Id="rId340" Type="http://schemas.openxmlformats.org/officeDocument/2006/relationships/image" Target="media/image191.png"/><Relationship Id="rId341" Type="http://schemas.openxmlformats.org/officeDocument/2006/relationships/image" Target="media/image192.png"/><Relationship Id="rId342" Type="http://schemas.openxmlformats.org/officeDocument/2006/relationships/image" Target="media/image193.png"/><Relationship Id="rId343" Type="http://schemas.openxmlformats.org/officeDocument/2006/relationships/image" Target="media/image194.png"/><Relationship Id="rId344" Type="http://schemas.openxmlformats.org/officeDocument/2006/relationships/image" Target="media/image195.png"/><Relationship Id="rId345" Type="http://schemas.openxmlformats.org/officeDocument/2006/relationships/image" Target="media/image196.png"/><Relationship Id="rId346" Type="http://schemas.openxmlformats.org/officeDocument/2006/relationships/image" Target="media/image197.png"/><Relationship Id="rId347" Type="http://schemas.openxmlformats.org/officeDocument/2006/relationships/image" Target="media/image198.png"/><Relationship Id="rId348" Type="http://schemas.openxmlformats.org/officeDocument/2006/relationships/image" Target="media/image199.png"/><Relationship Id="rId349" Type="http://schemas.openxmlformats.org/officeDocument/2006/relationships/image" Target="media/image200.png"/><Relationship Id="rId350" Type="http://schemas.openxmlformats.org/officeDocument/2006/relationships/image" Target="media/image201.png"/><Relationship Id="rId351" Type="http://schemas.openxmlformats.org/officeDocument/2006/relationships/image" Target="media/image202.png"/><Relationship Id="rId352" Type="http://schemas.openxmlformats.org/officeDocument/2006/relationships/image" Target="media/image203.png"/><Relationship Id="rId353" Type="http://schemas.openxmlformats.org/officeDocument/2006/relationships/image" Target="media/image204.png"/><Relationship Id="rId354" Type="http://schemas.openxmlformats.org/officeDocument/2006/relationships/image" Target="media/image205.png"/><Relationship Id="rId355" Type="http://schemas.openxmlformats.org/officeDocument/2006/relationships/image" Target="media/image206.png"/><Relationship Id="rId356" Type="http://schemas.openxmlformats.org/officeDocument/2006/relationships/image" Target="media/image207.png"/><Relationship Id="rId357" Type="http://schemas.openxmlformats.org/officeDocument/2006/relationships/image" Target="media/image208.png"/><Relationship Id="rId358" Type="http://schemas.openxmlformats.org/officeDocument/2006/relationships/image" Target="media/image209.png"/><Relationship Id="rId359" Type="http://schemas.openxmlformats.org/officeDocument/2006/relationships/image" Target="media/image210.png"/><Relationship Id="rId360" Type="http://schemas.openxmlformats.org/officeDocument/2006/relationships/image" Target="media/image211.png"/><Relationship Id="rId361" Type="http://schemas.openxmlformats.org/officeDocument/2006/relationships/image" Target="media/image212.png"/><Relationship Id="rId362" Type="http://schemas.openxmlformats.org/officeDocument/2006/relationships/image" Target="media/image213.png"/><Relationship Id="rId363" Type="http://schemas.openxmlformats.org/officeDocument/2006/relationships/image" Target="media/image214.png"/><Relationship Id="rId364" Type="http://schemas.openxmlformats.org/officeDocument/2006/relationships/image" Target="media/image215.png"/><Relationship Id="rId365" Type="http://schemas.openxmlformats.org/officeDocument/2006/relationships/image" Target="media/image216.png"/><Relationship Id="rId366" Type="http://schemas.openxmlformats.org/officeDocument/2006/relationships/image" Target="media/image217.png"/><Relationship Id="rId367" Type="http://schemas.openxmlformats.org/officeDocument/2006/relationships/image" Target="media/image218.png"/><Relationship Id="rId368" Type="http://schemas.openxmlformats.org/officeDocument/2006/relationships/image" Target="media/image219.png"/><Relationship Id="rId369" Type="http://schemas.openxmlformats.org/officeDocument/2006/relationships/image" Target="media/image220.png"/><Relationship Id="rId370" Type="http://schemas.openxmlformats.org/officeDocument/2006/relationships/image" Target="media/image221.png"/><Relationship Id="rId371" Type="http://schemas.openxmlformats.org/officeDocument/2006/relationships/image" Target="media/image222.png"/><Relationship Id="rId372" Type="http://schemas.openxmlformats.org/officeDocument/2006/relationships/image" Target="media/image223.png"/><Relationship Id="rId373" Type="http://schemas.openxmlformats.org/officeDocument/2006/relationships/image" Target="media/image224.png"/><Relationship Id="rId374" Type="http://schemas.openxmlformats.org/officeDocument/2006/relationships/image" Target="media/image225.png"/><Relationship Id="rId375" Type="http://schemas.openxmlformats.org/officeDocument/2006/relationships/image" Target="media/image226.png"/><Relationship Id="rId376" Type="http://schemas.openxmlformats.org/officeDocument/2006/relationships/image" Target="media/image227.png"/><Relationship Id="rId377" Type="http://schemas.openxmlformats.org/officeDocument/2006/relationships/image" Target="media/image228.png"/><Relationship Id="rId378" Type="http://schemas.openxmlformats.org/officeDocument/2006/relationships/image" Target="media/image229.png"/><Relationship Id="rId379" Type="http://schemas.openxmlformats.org/officeDocument/2006/relationships/image" Target="media/image230.png"/><Relationship Id="rId380" Type="http://schemas.openxmlformats.org/officeDocument/2006/relationships/image" Target="media/image231.png"/><Relationship Id="rId381" Type="http://schemas.openxmlformats.org/officeDocument/2006/relationships/image" Target="media/image232.png"/><Relationship Id="rId382" Type="http://schemas.openxmlformats.org/officeDocument/2006/relationships/image" Target="media/image233.png"/><Relationship Id="rId383" Type="http://schemas.openxmlformats.org/officeDocument/2006/relationships/image" Target="media/image234.png"/><Relationship Id="rId384" Type="http://schemas.openxmlformats.org/officeDocument/2006/relationships/image" Target="media/image235.png"/><Relationship Id="rId385" Type="http://schemas.openxmlformats.org/officeDocument/2006/relationships/image" Target="media/image236.png"/><Relationship Id="rId386" Type="http://schemas.openxmlformats.org/officeDocument/2006/relationships/image" Target="media/image237.png"/><Relationship Id="rId387" Type="http://schemas.openxmlformats.org/officeDocument/2006/relationships/image" Target="media/image238.png"/><Relationship Id="rId388" Type="http://schemas.openxmlformats.org/officeDocument/2006/relationships/image" Target="media/image239.png"/><Relationship Id="rId389" Type="http://schemas.openxmlformats.org/officeDocument/2006/relationships/image" Target="media/image240.png"/><Relationship Id="rId390" Type="http://schemas.openxmlformats.org/officeDocument/2006/relationships/image" Target="media/image241.png"/><Relationship Id="rId391" Type="http://schemas.openxmlformats.org/officeDocument/2006/relationships/image" Target="media/image242.png"/><Relationship Id="rId392" Type="http://schemas.openxmlformats.org/officeDocument/2006/relationships/image" Target="media/image243.png"/><Relationship Id="rId393" Type="http://schemas.openxmlformats.org/officeDocument/2006/relationships/image" Target="media/image244.png"/><Relationship Id="rId394" Type="http://schemas.openxmlformats.org/officeDocument/2006/relationships/image" Target="media/image245.png"/><Relationship Id="rId395" Type="http://schemas.openxmlformats.org/officeDocument/2006/relationships/image" Target="media/image246.png"/><Relationship Id="rId396" Type="http://schemas.openxmlformats.org/officeDocument/2006/relationships/image" Target="media/image247.png"/><Relationship Id="rId397" Type="http://schemas.openxmlformats.org/officeDocument/2006/relationships/image" Target="media/image248.png"/><Relationship Id="rId398" Type="http://schemas.openxmlformats.org/officeDocument/2006/relationships/image" Target="media/image249.png"/><Relationship Id="rId399" Type="http://schemas.openxmlformats.org/officeDocument/2006/relationships/image" Target="media/image250.png"/><Relationship Id="rId400" Type="http://schemas.openxmlformats.org/officeDocument/2006/relationships/image" Target="media/image251.png"/><Relationship Id="rId401" Type="http://schemas.openxmlformats.org/officeDocument/2006/relationships/image" Target="media/image252.png"/><Relationship Id="rId402" Type="http://schemas.openxmlformats.org/officeDocument/2006/relationships/image" Target="media/image253.png"/><Relationship Id="rId403" Type="http://schemas.openxmlformats.org/officeDocument/2006/relationships/image" Target="media/image254.png"/><Relationship Id="rId404" Type="http://schemas.openxmlformats.org/officeDocument/2006/relationships/image" Target="media/image255.png"/><Relationship Id="rId405" Type="http://schemas.openxmlformats.org/officeDocument/2006/relationships/image" Target="media/image256.png"/><Relationship Id="rId406" Type="http://schemas.openxmlformats.org/officeDocument/2006/relationships/image" Target="media/image257.png"/><Relationship Id="rId407" Type="http://schemas.openxmlformats.org/officeDocument/2006/relationships/image" Target="media/image258.png"/><Relationship Id="rId408" Type="http://schemas.openxmlformats.org/officeDocument/2006/relationships/image" Target="media/image259.png"/><Relationship Id="rId409" Type="http://schemas.openxmlformats.org/officeDocument/2006/relationships/image" Target="media/image260.png"/><Relationship Id="rId410" Type="http://schemas.openxmlformats.org/officeDocument/2006/relationships/image" Target="media/image261.png"/><Relationship Id="rId411" Type="http://schemas.openxmlformats.org/officeDocument/2006/relationships/image" Target="media/image262.png"/><Relationship Id="rId412" Type="http://schemas.openxmlformats.org/officeDocument/2006/relationships/image" Target="media/image263.png"/><Relationship Id="rId413" Type="http://schemas.openxmlformats.org/officeDocument/2006/relationships/image" Target="media/image264.png"/><Relationship Id="rId414" Type="http://schemas.openxmlformats.org/officeDocument/2006/relationships/image" Target="media/image265.png"/><Relationship Id="rId415" Type="http://schemas.openxmlformats.org/officeDocument/2006/relationships/image" Target="media/image266.png"/><Relationship Id="rId416" Type="http://schemas.openxmlformats.org/officeDocument/2006/relationships/image" Target="media/image267.png"/><Relationship Id="rId417" Type="http://schemas.openxmlformats.org/officeDocument/2006/relationships/image" Target="media/image268.png"/><Relationship Id="rId418" Type="http://schemas.openxmlformats.org/officeDocument/2006/relationships/image" Target="media/image269.png"/><Relationship Id="rId419" Type="http://schemas.openxmlformats.org/officeDocument/2006/relationships/image" Target="media/image270.png"/><Relationship Id="rId420" Type="http://schemas.openxmlformats.org/officeDocument/2006/relationships/image" Target="media/image271.png"/><Relationship Id="rId421" Type="http://schemas.openxmlformats.org/officeDocument/2006/relationships/image" Target="media/image272.png"/><Relationship Id="rId422" Type="http://schemas.openxmlformats.org/officeDocument/2006/relationships/image" Target="media/image273.png"/><Relationship Id="rId423" Type="http://schemas.openxmlformats.org/officeDocument/2006/relationships/image" Target="media/image274.png"/><Relationship Id="rId424" Type="http://schemas.openxmlformats.org/officeDocument/2006/relationships/image" Target="media/image275.png"/><Relationship Id="rId425" Type="http://schemas.openxmlformats.org/officeDocument/2006/relationships/image" Target="media/image276.png"/><Relationship Id="rId426" Type="http://schemas.openxmlformats.org/officeDocument/2006/relationships/image" Target="media/image277.png"/><Relationship Id="rId427" Type="http://schemas.openxmlformats.org/officeDocument/2006/relationships/image" Target="media/image278.png"/><Relationship Id="rId428" Type="http://schemas.openxmlformats.org/officeDocument/2006/relationships/image" Target="media/image279.png"/><Relationship Id="rId429" Type="http://schemas.openxmlformats.org/officeDocument/2006/relationships/image" Target="media/image280.png"/><Relationship Id="rId430" Type="http://schemas.openxmlformats.org/officeDocument/2006/relationships/image" Target="media/image281.png"/><Relationship Id="rId431" Type="http://schemas.openxmlformats.org/officeDocument/2006/relationships/image" Target="media/image282.png"/><Relationship Id="rId432" Type="http://schemas.openxmlformats.org/officeDocument/2006/relationships/image" Target="media/image283.png"/><Relationship Id="rId433" Type="http://schemas.openxmlformats.org/officeDocument/2006/relationships/image" Target="media/image284.png"/><Relationship Id="rId434" Type="http://schemas.openxmlformats.org/officeDocument/2006/relationships/image" Target="media/image285.png"/><Relationship Id="rId435" Type="http://schemas.openxmlformats.org/officeDocument/2006/relationships/image" Target="media/image286.png"/><Relationship Id="rId436" Type="http://schemas.openxmlformats.org/officeDocument/2006/relationships/image" Target="media/image287.png"/><Relationship Id="rId437" Type="http://schemas.openxmlformats.org/officeDocument/2006/relationships/image" Target="media/image288.png"/><Relationship Id="rId438" Type="http://schemas.openxmlformats.org/officeDocument/2006/relationships/image" Target="media/image289.png"/><Relationship Id="rId439" Type="http://schemas.openxmlformats.org/officeDocument/2006/relationships/image" Target="media/image290.png"/><Relationship Id="rId440" Type="http://schemas.openxmlformats.org/officeDocument/2006/relationships/image" Target="media/image291.png"/><Relationship Id="rId441" Type="http://schemas.openxmlformats.org/officeDocument/2006/relationships/image" Target="media/image292.png"/><Relationship Id="rId442" Type="http://schemas.openxmlformats.org/officeDocument/2006/relationships/image" Target="media/image293.png"/><Relationship Id="rId443" Type="http://schemas.openxmlformats.org/officeDocument/2006/relationships/image" Target="media/image294.png"/><Relationship Id="rId444" Type="http://schemas.openxmlformats.org/officeDocument/2006/relationships/image" Target="media/image295.png"/><Relationship Id="rId445" Type="http://schemas.openxmlformats.org/officeDocument/2006/relationships/image" Target="media/image296.png"/><Relationship Id="rId446" Type="http://schemas.openxmlformats.org/officeDocument/2006/relationships/image" Target="media/image297.png"/><Relationship Id="rId447" Type="http://schemas.openxmlformats.org/officeDocument/2006/relationships/image" Target="media/image298.png"/><Relationship Id="rId448" Type="http://schemas.openxmlformats.org/officeDocument/2006/relationships/image" Target="media/image299.png"/><Relationship Id="rId449" Type="http://schemas.openxmlformats.org/officeDocument/2006/relationships/image" Target="media/image300.png"/><Relationship Id="rId450" Type="http://schemas.openxmlformats.org/officeDocument/2006/relationships/image" Target="media/image301.png"/><Relationship Id="rId451" Type="http://schemas.openxmlformats.org/officeDocument/2006/relationships/image" Target="media/image302.png"/><Relationship Id="rId452" Type="http://schemas.openxmlformats.org/officeDocument/2006/relationships/image" Target="media/image303.png"/><Relationship Id="rId453" Type="http://schemas.openxmlformats.org/officeDocument/2006/relationships/image" Target="media/image304.png"/><Relationship Id="rId454" Type="http://schemas.openxmlformats.org/officeDocument/2006/relationships/image" Target="media/image305.png"/><Relationship Id="rId455" Type="http://schemas.openxmlformats.org/officeDocument/2006/relationships/image" Target="media/image306.png"/><Relationship Id="rId456" Type="http://schemas.openxmlformats.org/officeDocument/2006/relationships/image" Target="media/image307.png"/><Relationship Id="rId457" Type="http://schemas.openxmlformats.org/officeDocument/2006/relationships/image" Target="media/image308.png"/><Relationship Id="rId458" Type="http://schemas.openxmlformats.org/officeDocument/2006/relationships/image" Target="media/image309.png"/><Relationship Id="rId459" Type="http://schemas.openxmlformats.org/officeDocument/2006/relationships/image" Target="media/image310.png"/><Relationship Id="rId460" Type="http://schemas.openxmlformats.org/officeDocument/2006/relationships/image" Target="media/image311.png"/><Relationship Id="rId461" Type="http://schemas.openxmlformats.org/officeDocument/2006/relationships/image" Target="media/image312.png"/><Relationship Id="rId462" Type="http://schemas.openxmlformats.org/officeDocument/2006/relationships/image" Target="media/image313.png"/><Relationship Id="rId463" Type="http://schemas.openxmlformats.org/officeDocument/2006/relationships/image" Target="media/image314.png"/><Relationship Id="rId464" Type="http://schemas.openxmlformats.org/officeDocument/2006/relationships/image" Target="media/image315.png"/><Relationship Id="rId465" Type="http://schemas.openxmlformats.org/officeDocument/2006/relationships/image" Target="media/image316.png"/><Relationship Id="rId466" Type="http://schemas.openxmlformats.org/officeDocument/2006/relationships/image" Target="media/image317.png"/><Relationship Id="rId467" Type="http://schemas.openxmlformats.org/officeDocument/2006/relationships/image" Target="media/image318.png"/><Relationship Id="rId468" Type="http://schemas.openxmlformats.org/officeDocument/2006/relationships/image" Target="media/image319.png"/><Relationship Id="rId469" Type="http://schemas.openxmlformats.org/officeDocument/2006/relationships/image" Target="media/image320.png"/><Relationship Id="rId470" Type="http://schemas.openxmlformats.org/officeDocument/2006/relationships/image" Target="media/image321.png"/><Relationship Id="rId471" Type="http://schemas.openxmlformats.org/officeDocument/2006/relationships/image" Target="media/image322.png"/><Relationship Id="rId187" Type="http://schemas.openxmlformats.org/officeDocument/2006/relationships/hyperlink" Target="http://www.sec.gov/Archives/edgar/data/1276187/000119312519245885/d804505dex21.htm" TargetMode="External"/><Relationship Id="rId188" Type="http://schemas.openxmlformats.org/officeDocument/2006/relationships/hyperlink" Target="http://www.sec.gov/Archives/edgar/data/1276187/000119312521046617/d139787dex21.htm" TargetMode="External"/><Relationship Id="rId189" Type="http://schemas.openxmlformats.org/officeDocument/2006/relationships/hyperlink" Target="https://www.sec.gov/Archives/edgar/data/0001276187/000119312521071649/d151393dex21.htm" TargetMode="External"/><Relationship Id="rId190" Type="http://schemas.openxmlformats.org/officeDocument/2006/relationships/hyperlink" Target="http://www.sec.gov/Archives/edgar/data/0001276187/000119312521071649/d151393dex21.htm" TargetMode="External"/><Relationship Id="rId191" Type="http://schemas.openxmlformats.org/officeDocument/2006/relationships/hyperlink" Target="https://www.sec.gov/Archives/edgar/data/0001276187/000119312521104908/d123645dex21.htm" TargetMode="External"/><Relationship Id="rId192" Type="http://schemas.openxmlformats.org/officeDocument/2006/relationships/hyperlink" Target="https://www.sec.gov/Archives/edgar/data/0001276187/000119312521104908/d123645dex22.htm" TargetMode="External"/><Relationship Id="rId193" Type="http://schemas.openxmlformats.org/officeDocument/2006/relationships/hyperlink" Target="http://www.sec.gov/Archives/edgar/data/1276187/000119312505179978/dex32.htm" TargetMode="External"/><Relationship Id="rId194" Type="http://schemas.openxmlformats.org/officeDocument/2006/relationships/hyperlink" Target="http://www.sec.gov/Archives/edgar/data/1276187/000119312518303169/d639079dex31.htm" TargetMode="External"/><Relationship Id="rId195" Type="http://schemas.openxmlformats.org/officeDocument/2006/relationships/hyperlink" Target="http://www.sec.gov/Archives/edgar/data/1276187/000119312506031657/dex31.htm" TargetMode="External"/><Relationship Id="rId196" Type="http://schemas.openxmlformats.org/officeDocument/2006/relationships/hyperlink" Target="http://www.sec.gov/Archives/edgar/data/1276187/000119312506243515/dex331.htm" TargetMode="External"/><Relationship Id="rId197" Type="http://schemas.openxmlformats.org/officeDocument/2006/relationships/hyperlink" Target="http://www.sec.gov/Archives/edgar/data/1276187/000095012907005609/h51447exv3w3w2.htm" TargetMode="External"/><Relationship Id="rId198" Type="http://schemas.openxmlformats.org/officeDocument/2006/relationships/hyperlink" Target="http://www.sec.gov/Archives/edgar/data/1276187/000095012310055206/h73441exv3w1.htm" TargetMode="External"/><Relationship Id="rId199" Type="http://schemas.openxmlformats.org/officeDocument/2006/relationships/hyperlink" Target="http://www.sec.gov/Archives/edgar/data/1276187/000119312513486360/d650558dex31.htm" TargetMode="External"/><Relationship Id="rId200" Type="http://schemas.openxmlformats.org/officeDocument/2006/relationships/hyperlink" Target="http://www.sec.gov/Archives/edgar/data/1276187/000119312516498562/d138318dex31.htm" TargetMode="External"/><Relationship Id="rId201" Type="http://schemas.openxmlformats.org/officeDocument/2006/relationships/hyperlink" Target="http://www.sec.gov/Archives/edgar/data/1276187/000119312518303169/d639079dex32.htm" TargetMode="External"/><Relationship Id="rId202" Type="http://schemas.openxmlformats.org/officeDocument/2006/relationships/hyperlink" Target="http://www.sec.gov/Archives/edgar/data/1276187/000127618719000034/etex310amendmentno7.htm" TargetMode="External"/><Relationship Id="rId203" Type="http://schemas.openxmlformats.org/officeDocument/2006/relationships/hyperlink" Target="https://www.sec.gov/Archives/edgar/data/1276187/000119312521104908/d123645dex31.htm" TargetMode="External"/><Relationship Id="rId204" Type="http://schemas.openxmlformats.org/officeDocument/2006/relationships/hyperlink" Target="https://www.sec.gov/Archives/edgar/data/1276187/000119312521191260/d142709dex31.htm" TargetMode="External"/><Relationship Id="rId205" Type="http://schemas.openxmlformats.org/officeDocument/2006/relationships/hyperlink" Target="http://www.sec.gov/Archives/edgar/data/1276187/000095012310087517/h76247exv4w1.htm" TargetMode="External"/><Relationship Id="rId208" Type="http://schemas.openxmlformats.org/officeDocument/2006/relationships/hyperlink" Target="http://www.sec.gov/Archives/edgar/data/1276187/000119312513459297/d635738dex42.htm" TargetMode="External"/><Relationship Id="rId209" Type="http://schemas.openxmlformats.org/officeDocument/2006/relationships/hyperlink" Target="http://www.sec.gov/Archives/edgar/data/1276187/000127618714000026/a42ete-5thsupplementalinde.htm" TargetMode="External"/><Relationship Id="rId210" Type="http://schemas.openxmlformats.org/officeDocument/2006/relationships/hyperlink" Target="http://www.sec.gov/Archives/edgar/data/1276187/000127618714000026/a43ete-20146thsupplemental.htm" TargetMode="External"/><Relationship Id="rId211" Type="http://schemas.openxmlformats.org/officeDocument/2006/relationships/hyperlink" Target="http://www.sec.gov/Archives/edgar/data/1276187/000119312515198921/d930453dex42.htm" TargetMode="External"/><Relationship Id="rId212" Type="http://schemas.openxmlformats.org/officeDocument/2006/relationships/hyperlink" Target="http://www.sec.gov/Archives/edgar/data/1276187/000127618717000081/exhibit42-etexeighthsupple.htm" TargetMode="External"/><Relationship Id="rId213" Type="http://schemas.openxmlformats.org/officeDocument/2006/relationships/hyperlink" Target="http://www.sec.gov/Archives/edgar/data/1276187/000119312519088650/d700955dex42.htm" TargetMode="External"/><Relationship Id="rId214" Type="http://schemas.openxmlformats.org/officeDocument/2006/relationships/hyperlink" Target="https://www.sec.gov/Archives/edgar/data/1012569/000095013405000945/d21771exv4w1.txt" TargetMode="External"/><Relationship Id="rId215" Type="http://schemas.openxmlformats.org/officeDocument/2006/relationships/hyperlink" Target="http://www.sec.gov/Archives/edgar/data/1012569/000095013405000945/d21771exv4w1.txt" TargetMode="External"/><Relationship Id="rId216" Type="http://schemas.openxmlformats.org/officeDocument/2006/relationships/hyperlink" Target="https://www.sec.gov/Archives/edgar/data/1012569/000119312506214743/dex41.htm" TargetMode="External"/><Relationship Id="rId217" Type="http://schemas.openxmlformats.org/officeDocument/2006/relationships/hyperlink" Target="http://www.sec.gov/Archives/edgar/data/1012569/000119312506214743/dex41.htm" TargetMode="External"/><Relationship Id="rId218" Type="http://schemas.openxmlformats.org/officeDocument/2006/relationships/hyperlink" Target="https://www.sec.gov/Archives/edgar/data/1012569/000095012908002024/h55383exv4w2.htm" TargetMode="External"/><Relationship Id="rId219" Type="http://schemas.openxmlformats.org/officeDocument/2006/relationships/hyperlink" Target="https://www.sec.gov/Archives/edgar/data/1012569/000095012311049420/h82272exv4w2.htm" TargetMode="External"/><Relationship Id="rId220" Type="http://schemas.openxmlformats.org/officeDocument/2006/relationships/hyperlink" Target="http://www.sec.gov/Archives/edgar/data/1012569/000095012311049420/h82272exv4w2.htm" TargetMode="External"/><Relationship Id="rId221" Type="http://schemas.openxmlformats.org/officeDocument/2006/relationships/hyperlink" Target="http://www.sec.gov/Archives/edgar/data/1012569/000119312512013745/d284160dex42.htm" TargetMode="External"/><Relationship Id="rId222" Type="http://schemas.openxmlformats.org/officeDocument/2006/relationships/hyperlink" Target="http://www.sec.gov/Archives/edgar/data/1012569/000119312513020474/d471925dex42.htm" TargetMode="External"/><Relationship Id="rId223" Type="http://schemas.openxmlformats.org/officeDocument/2006/relationships/hyperlink" Target="https://www.sec.gov/Archives/edgar/data/1012569/000119312513020474/d471925dex42.htm" TargetMode="External"/><Relationship Id="rId224" Type="http://schemas.openxmlformats.org/officeDocument/2006/relationships/hyperlink" Target="http://www.sec.gov/Archives/edgar/data/1012569/000119312513272536/d560581dex42.htm" TargetMode="External"/><Relationship Id="rId225" Type="http://schemas.openxmlformats.org/officeDocument/2006/relationships/hyperlink" Target="http://www.sec.gov/Archives/edgar/data/1012569/000119312513371388/d600971dex42.htm" TargetMode="External"/><Relationship Id="rId226" Type="http://schemas.openxmlformats.org/officeDocument/2006/relationships/hyperlink" Target="http://www.sec.gov/Archives/edgar/data/1012569/000101256915000035/etp-ex4214thsupplementalin.htm" TargetMode="External"/><Relationship Id="rId227" Type="http://schemas.openxmlformats.org/officeDocument/2006/relationships/hyperlink" Target="http://www.sec.gov/Archives/edgar/data/1012569/000119312515232084/d946336dex43.htm" TargetMode="External"/><Relationship Id="rId228" Type="http://schemas.openxmlformats.org/officeDocument/2006/relationships/hyperlink" Target="http://www.sec.gov/Archives/edgar/data/1012569/000101256917000013/ex42etp-sixteenthsupplemen.htm" TargetMode="External"/><Relationship Id="rId229" Type="http://schemas.openxmlformats.org/officeDocument/2006/relationships/hyperlink" Target="http://www.sec.gov/Archives/edgar/data/1161154/000116115417000085/ex108-etpassettransferusba.htm" TargetMode="External"/><Relationship Id="rId230" Type="http://schemas.openxmlformats.org/officeDocument/2006/relationships/hyperlink" Target="http://www.sec.gov/Archives/edgar/data/1161154/000116115417000085/ex105-etpassettransferusba.htm" TargetMode="External"/><Relationship Id="rId233" Type="http://schemas.openxmlformats.org/officeDocument/2006/relationships/hyperlink" Target="http://www.sec.gov/Archives/edgar/data/1012569/000119312512416888/d421405dex48.htm" TargetMode="External"/><Relationship Id="rId234" Type="http://schemas.openxmlformats.org/officeDocument/2006/relationships/hyperlink" Target="http://www.sec.gov/Archives/edgar/data/1012569/000119312512416888/d421405dex49.htm" TargetMode="External"/><Relationship Id="rId235" Type="http://schemas.openxmlformats.org/officeDocument/2006/relationships/hyperlink" Target="http://www.sec.gov/Archives/edgar/data/1161154/000116115417000063/etpsixteenthsupplementalin.htm" TargetMode="External"/><Relationship Id="rId236" Type="http://schemas.openxmlformats.org/officeDocument/2006/relationships/hyperlink" Target="http://www.sec.gov/Archives/edgar/data/1161154/000116115417000063/etpfifteenthsupplementalin.htm" TargetMode="External"/><Relationship Id="rId237" Type="http://schemas.openxmlformats.org/officeDocument/2006/relationships/hyperlink" Target="http://www.sec.gov/Archives/edgar/data/1161154/000116115417000090/ex101thirdsupplementalinde.htm" TargetMode="External"/><Relationship Id="rId238" Type="http://schemas.openxmlformats.org/officeDocument/2006/relationships/hyperlink" Target="http://www.sec.gov/Archives/edgar/data/1161154/000116115417000090/ex102eighteenthsupplementa.htm" TargetMode="External"/><Relationship Id="rId239" Type="http://schemas.openxmlformats.org/officeDocument/2006/relationships/hyperlink" Target="http://www.sec.gov/Archives/edgar/data/1161154/000116115417000090/ex103tenthsupplementalinde.htm" TargetMode="External"/><Relationship Id="rId240" Type="http://schemas.openxmlformats.org/officeDocument/2006/relationships/hyperlink" Target="http://www.sec.gov/Archives/edgar/data/1161154/000116115417000090/ex104eleventhsupplementali.htm" TargetMode="External"/><Relationship Id="rId241" Type="http://schemas.openxmlformats.org/officeDocument/2006/relationships/hyperlink" Target="http://www.sec.gov/Archives/edgar/data/1161154/000116115417000085/ex106-etpassettransferusba.htm" TargetMode="External"/><Relationship Id="rId242" Type="http://schemas.openxmlformats.org/officeDocument/2006/relationships/hyperlink" Target="http://www.sec.gov/Archives/edgar/data/1161154/000119312518188269/d602345dex41.htm" TargetMode="External"/><Relationship Id="rId243" Type="http://schemas.openxmlformats.org/officeDocument/2006/relationships/hyperlink" Target="http://www.sec.gov/Archives/edgar/data/1161154/000119312518188269/d602345dex42.htm" TargetMode="External"/><Relationship Id="rId244" Type="http://schemas.openxmlformats.org/officeDocument/2006/relationships/hyperlink" Target="http://www.sec.gov/Archives/edgar/data/1161154/000119312519009771/d672287dex42.htm" TargetMode="External"/><Relationship Id="rId245" Type="http://schemas.openxmlformats.org/officeDocument/2006/relationships/hyperlink" Target="http://www.sec.gov/Archives/edgar/data/1161154/000119312519088623/d705877dex42.htm" TargetMode="External"/><Relationship Id="rId246" Type="http://schemas.openxmlformats.org/officeDocument/2006/relationships/hyperlink" Target="http://www.sec.gov/Archives/edgar/data/1161154/000119312520012077/d874700dex42.htm" TargetMode="External"/><Relationship Id="rId247" Type="http://schemas.openxmlformats.org/officeDocument/2006/relationships/hyperlink" Target="http://www.sec.gov/Archives/edgar/data/0001276187/000119312521369387/d35799dex41.htm" TargetMode="External"/><Relationship Id="rId248" Type="http://schemas.openxmlformats.org/officeDocument/2006/relationships/hyperlink" Target="http://www.sec.gov/Archives/edgar/data/1591763/000119312514217214/d734070dex41.htm" TargetMode="External"/><Relationship Id="rId249" Type="http://schemas.openxmlformats.org/officeDocument/2006/relationships/hyperlink" Target="http://www.sec.gov/Archives/edgar/data/1591763/000119312514217214/d734070dex42.htm" TargetMode="External"/><Relationship Id="rId250" Type="http://schemas.openxmlformats.org/officeDocument/2006/relationships/hyperlink" Target="http://www.sec.gov/Archives/edgar/data/1591763/000119312517076941/d349052dex42.htm" TargetMode="External"/><Relationship Id="rId253" Type="http://schemas.openxmlformats.org/officeDocument/2006/relationships/hyperlink" Target="http://www.sec.gov/Archives/edgar/data/1591763/000119312518158582/d587686dex42.htm" TargetMode="External"/><Relationship Id="rId254" Type="http://schemas.openxmlformats.org/officeDocument/2006/relationships/hyperlink" Target="http://www.sec.gov/Archives/edgar/data/1591763/000119312519244883/d798888dex42.htm" TargetMode="External"/><Relationship Id="rId255" Type="http://schemas.openxmlformats.org/officeDocument/2006/relationships/hyperlink" Target="https://www.sec.gov/Archives/edgar/data/76063/0000950124-99-003268.txt" TargetMode="External"/><Relationship Id="rId256" Type="http://schemas.openxmlformats.org/officeDocument/2006/relationships/hyperlink" Target="http://www.sec.gov/Archives/edgar/data/76063/0000950124-99-003268.txt" TargetMode="External"/><Relationship Id="rId257" Type="http://schemas.openxmlformats.org/officeDocument/2006/relationships/hyperlink" Target="https://www.sec.gov/Archives/edgar/data/203248/000020324806000097/exh401.htm" TargetMode="External"/><Relationship Id="rId258" Type="http://schemas.openxmlformats.org/officeDocument/2006/relationships/hyperlink" Target="http://www.sec.gov/Archives/edgar/data/203248/000020324806000097/exh401.htm" TargetMode="External"/><Relationship Id="rId259" Type="http://schemas.openxmlformats.org/officeDocument/2006/relationships/hyperlink" Target="https://www.sec.gov/Archives/edgar/data/203248/000119312513272561/d560507dex43.htm" TargetMode="External"/><Relationship Id="rId260" Type="http://schemas.openxmlformats.org/officeDocument/2006/relationships/hyperlink" Target="http://www.sec.gov/Archives/edgar/data/203248/000119312513272561/d560507dex43.htm" TargetMode="External"/><Relationship Id="rId261" Type="http://schemas.openxmlformats.org/officeDocument/2006/relationships/hyperlink" Target="https://www.sec.gov/Archives/edgar/data/76063/000020324808000046/ex4_1.htm" TargetMode="External"/><Relationship Id="rId262" Type="http://schemas.openxmlformats.org/officeDocument/2006/relationships/hyperlink" Target="http://www.sec.gov/Archives/edgar/data/76063/000020324808000046/ex4_1.htm" TargetMode="External"/><Relationship Id="rId263" Type="http://schemas.openxmlformats.org/officeDocument/2006/relationships/hyperlink" Target="https://www.sec.gov/Archives/edgar/data/76063/000020324809000031/ex4_1.htm" TargetMode="External"/><Relationship Id="rId264" Type="http://schemas.openxmlformats.org/officeDocument/2006/relationships/hyperlink" Target="http://www.sec.gov/Archives/edgar/data/76063/000020324809000031/ex4_1.htm" TargetMode="External"/><Relationship Id="rId265" Type="http://schemas.openxmlformats.org/officeDocument/2006/relationships/hyperlink" Target="https://www.sec.gov/Archives/edgar/data/203248/000119312513272561/d560507dex41.htm" TargetMode="External"/><Relationship Id="rId266" Type="http://schemas.openxmlformats.org/officeDocument/2006/relationships/hyperlink" Target="http://www.sec.gov/Archives/edgar/data/203248/000119312513272561/d560507dex41.htm" TargetMode="External"/><Relationship Id="rId267" Type="http://schemas.openxmlformats.org/officeDocument/2006/relationships/hyperlink" Target="https://www.sec.gov/Archives/edgar/data/203248/000119312513272561/d560507dex42.htm" TargetMode="External"/><Relationship Id="rId268" Type="http://schemas.openxmlformats.org/officeDocument/2006/relationships/hyperlink" Target="http://www.sec.gov/Archives/edgar/data/203248/000119312513272561/d560507dex42.htm" TargetMode="External"/><Relationship Id="rId269" Type="http://schemas.openxmlformats.org/officeDocument/2006/relationships/hyperlink" Target="http://www.sec.gov/Archives/edgar/data/0001276187/000119312521104908/d123645dex101.htm" TargetMode="External"/><Relationship Id="rId270" Type="http://schemas.openxmlformats.org/officeDocument/2006/relationships/hyperlink" Target="http://www.sec.gov/Archives/edgar/data/0001276187/000119312521104908/d123645dex102.htm" TargetMode="External"/><Relationship Id="rId271" Type="http://schemas.openxmlformats.org/officeDocument/2006/relationships/hyperlink" Target="http://www.sec.gov/Archives/edgar/data/0001276187/000119312521104908/d123645dex103.htm" TargetMode="External"/><Relationship Id="rId272" Type="http://schemas.openxmlformats.org/officeDocument/2006/relationships/hyperlink" Target="http://www.sec.gov/Archives/edgar/data/0001276187/000119312521104908/d123645dex104.htm" TargetMode="External"/><Relationship Id="rId273" Type="http://schemas.openxmlformats.org/officeDocument/2006/relationships/hyperlink" Target="http://www.sec.gov/Archives/edgar/data/0001276187/000119312521104908/d123645dex105.htm" TargetMode="External"/><Relationship Id="rId274" Type="http://schemas.openxmlformats.org/officeDocument/2006/relationships/hyperlink" Target="http://www.sec.gov/Archives/edgar/data/0001276187/000119312521104908/d123645dex106.htm" TargetMode="External"/><Relationship Id="rId275" Type="http://schemas.openxmlformats.org/officeDocument/2006/relationships/hyperlink" Target="http://www.sec.gov/Archives/edgar/data/0001276187/000119312521104908/d123645dex107.htm" TargetMode="External"/><Relationship Id="rId278" Type="http://schemas.openxmlformats.org/officeDocument/2006/relationships/hyperlink" Target="https://www.sec.gov/Archives/edgar/data/1012569/000119312515161318/d919300dex103.htm" TargetMode="External"/><Relationship Id="rId279" Type="http://schemas.openxmlformats.org/officeDocument/2006/relationships/hyperlink" Target="http://www.sec.gov/Archives/edgar/data/1012569/000119312515161318/d919300dex103.htm" TargetMode="External"/><Relationship Id="rId280" Type="http://schemas.openxmlformats.org/officeDocument/2006/relationships/hyperlink" Target="https://www.sec.gov/Archives/edgar/data/1012569/000119312515161318/d919300dex104.htm" TargetMode="External"/><Relationship Id="rId281" Type="http://schemas.openxmlformats.org/officeDocument/2006/relationships/hyperlink" Target="http://www.sec.gov/Archives/edgar/data/1012569/000119312515161318/d919300dex104.htm" TargetMode="External"/><Relationship Id="rId282" Type="http://schemas.openxmlformats.org/officeDocument/2006/relationships/hyperlink" Target="https://www.sec.gov/Archives/edgar/data/1012569/000101256915000078/exhibit-seventhsupplementa.htm" TargetMode="External"/><Relationship Id="rId283" Type="http://schemas.openxmlformats.org/officeDocument/2006/relationships/hyperlink" Target="http://www.sec.gov/Archives/edgar/data/1012569/000101256915000078/exhibit-seventhsupplementa.htm" TargetMode="External"/><Relationship Id="rId284" Type="http://schemas.openxmlformats.org/officeDocument/2006/relationships/hyperlink" Target="https://www.sec.gov/Archives/edgar/data/1012569/000101256915000103/ex102-april2013wfindenture.htm" TargetMode="External"/><Relationship Id="rId285" Type="http://schemas.openxmlformats.org/officeDocument/2006/relationships/hyperlink" Target="http://www.sec.gov/Archives/edgar/data/1012569/000101256915000103/ex102-april2013wfindenture.htm" TargetMode="External"/><Relationship Id="rId286" Type="http://schemas.openxmlformats.org/officeDocument/2006/relationships/hyperlink" Target="https://www.sec.gov/Archives/edgar/data/1161154/000116115417000085/ex109-etpassettransferlega.htm" TargetMode="External"/><Relationship Id="rId287" Type="http://schemas.openxmlformats.org/officeDocument/2006/relationships/hyperlink" Target="http://www.sec.gov/Archives/edgar/data/1161154/000116115417000085/ex109-etpassettransferlega.htm" TargetMode="External"/><Relationship Id="rId288" Type="http://schemas.openxmlformats.org/officeDocument/2006/relationships/hyperlink" Target="https://www.sec.gov/Archives/edgar/data/1012569/000101256915000103/ex103-sept2013wfindenturex.htm" TargetMode="External"/><Relationship Id="rId289" Type="http://schemas.openxmlformats.org/officeDocument/2006/relationships/hyperlink" Target="http://www.sec.gov/Archives/edgar/data/1012569/000101256915000103/ex103-sept2013wfindenturex.htm" TargetMode="External"/><Relationship Id="rId290" Type="http://schemas.openxmlformats.org/officeDocument/2006/relationships/hyperlink" Target="http://www.sec.gov/Archives/edgar/data/1161154/000116115417000085/ex1010-etpassettransferleg.htm" TargetMode="External"/><Relationship Id="rId291" Type="http://schemas.openxmlformats.org/officeDocument/2006/relationships/hyperlink" Target="https://www.sec.gov/Archives/edgar/data/76063/000007606322000044/exhibit101.htm" TargetMode="External"/><Relationship Id="rId292" Type="http://schemas.openxmlformats.org/officeDocument/2006/relationships/hyperlink" Target="https://www.sec.gov/Archives/edgar/data/76063/000007606322000044/exhibit102.htm" TargetMode="External"/><Relationship Id="rId293" Type="http://schemas.openxmlformats.org/officeDocument/2006/relationships/hyperlink" Target="https://www.sec.gov/Archives/edgar/data/76063/000007606322000044/exhibit103.htm" TargetMode="External"/><Relationship Id="rId294" Type="http://schemas.openxmlformats.org/officeDocument/2006/relationships/hyperlink" Target="https://www.sec.gov/Archives/edgar/data/1276187/000119312522304790/d433404dex41.htm" TargetMode="External"/><Relationship Id="rId295" Type="http://schemas.openxmlformats.org/officeDocument/2006/relationships/hyperlink" Target="https://www.sec.gov/Archives/edgar/data/1276187/000119312522304790/d433404dex42.htm" TargetMode="External"/><Relationship Id="rId296" Type="http://schemas.openxmlformats.org/officeDocument/2006/relationships/hyperlink" Target="https://www.sec.gov/Archives/edgar/data/1276187/000127618722000020/et12312021ex443.htm" TargetMode="External"/><Relationship Id="rId297" Type="http://schemas.openxmlformats.org/officeDocument/2006/relationships/hyperlink" Target="https://www.sec.gov/Archives/edgar/data/1276187/000127618722000020/et12312021ex444.htm" TargetMode="External"/><Relationship Id="rId298" Type="http://schemas.openxmlformats.org/officeDocument/2006/relationships/hyperlink" Target="https://www.sec.gov/Archives/edgar/data/1276187/000127618722000020/et12312021ex445.htm" TargetMode="External"/><Relationship Id="rId299" Type="http://schemas.openxmlformats.org/officeDocument/2006/relationships/hyperlink" Target="http://www.sec.gov/Archives/edgar/data/1276187/000127618718000011/eteex101ltip.htm" TargetMode="External"/><Relationship Id="rId300" Type="http://schemas.openxmlformats.org/officeDocument/2006/relationships/hyperlink" Target="https://www.sec.gov/Archives/edgar/data/0001276187/000127618721000034/et12312020ex102.htm" TargetMode="External"/><Relationship Id="rId301" Type="http://schemas.openxmlformats.org/officeDocument/2006/relationships/hyperlink" Target="http://www.sec.gov/Archives/edgar/data/1276187/000119312521003288/d104966dex101.htm" TargetMode="External"/><Relationship Id="rId304" Type="http://schemas.openxmlformats.org/officeDocument/2006/relationships/hyperlink" Target="http://www.sec.gov/Archives/edgar/data/1276187/000119312521003288/d104966dex102.htm" TargetMode="External"/><Relationship Id="rId305" Type="http://schemas.openxmlformats.org/officeDocument/2006/relationships/hyperlink" Target="http://www.sec.gov/Archives/edgar/data/1276187/000119312521003288/d104966dex103.htm" TargetMode="External"/><Relationship Id="rId306" Type="http://schemas.openxmlformats.org/officeDocument/2006/relationships/hyperlink" Target="http://www.sec.gov/Archives/edgar/data/1276187/000119312519024137/d699644dex41.htm" TargetMode="External"/><Relationship Id="rId307" Type="http://schemas.openxmlformats.org/officeDocument/2006/relationships/hyperlink" Target="http://www.sec.gov/Archives/edgar/data/1276187/000119312519024137/d699644dex42.htm" TargetMode="External"/><Relationship Id="rId308" Type="http://schemas.openxmlformats.org/officeDocument/2006/relationships/hyperlink" Target="http://www.sec.gov/Archives/edgar/data/1276187/000119312519024137/d699644dex43.htm" TargetMode="External"/><Relationship Id="rId309" Type="http://schemas.openxmlformats.org/officeDocument/2006/relationships/hyperlink" Target="http://www.sec.gov/Archives/edgar/data/1276187/000119312505245171/dex1026.htm" TargetMode="External"/><Relationship Id="rId310" Type="http://schemas.openxmlformats.org/officeDocument/2006/relationships/hyperlink" Target="http://www.sec.gov/Archives/edgar/data/1276187/000127618719000011/et-12312018xex109.htm" TargetMode="External"/><Relationship Id="rId311" Type="http://schemas.openxmlformats.org/officeDocument/2006/relationships/hyperlink" Target="http://www.sec.gov/Archives/edgar/data/1012569/000119312510112902/dex101.htm" TargetMode="External"/><Relationship Id="rId312" Type="http://schemas.openxmlformats.org/officeDocument/2006/relationships/hyperlink" Target="https://www.sec.gov/Archives/edgar/data/1276187/000127618722000020/et12312021ex1012.htm" TargetMode="External"/><Relationship Id="rId313" Type="http://schemas.openxmlformats.org/officeDocument/2006/relationships/hyperlink" Target="https://www.sec.gov/Archives/edgar/data/1276187/000127618722000020/et12312021ex1013.htm" TargetMode="External"/><Relationship Id="rId314" Type="http://schemas.openxmlformats.org/officeDocument/2006/relationships/hyperlink" Target="https://www.sec.gov/Archives/edgar/data/1276187/000127618716000132/eteex1044masonretentionagr.htm" TargetMode="External"/><Relationship Id="rId315" Type="http://schemas.openxmlformats.org/officeDocument/2006/relationships/hyperlink" Target="https://www.sec.gov/Archives/edgar/data/1276187/000127618719000011/et-12312018xex1023bonusplan.htm" TargetMode="External"/><Relationship Id="rId316" Type="http://schemas.openxmlformats.org/officeDocument/2006/relationships/hyperlink" Target="https://www.sec.gov/Archives/edgar/data/1276187/000119312506244368/dex991.htm" TargetMode="External"/><Relationship Id="rId317" Type="http://schemas.openxmlformats.org/officeDocument/2006/relationships/hyperlink" Target="http://www.sec.gov/Archives/edgar/data/1276187/000119312507046447/dex991.htm" TargetMode="External"/><Relationship Id="rId318" Type="http://schemas.openxmlformats.org/officeDocument/2006/relationships/hyperlink" Target="http://www.sec.gov/Archives/edgar/data/1276187/000119312507105351/dex1045.htm" TargetMode="External"/><Relationship Id="rId319" Type="http://schemas.openxmlformats.org/officeDocument/2006/relationships/hyperlink" Target="http://www.sec.gov/Archives/edgar/data/1276187/000119312518011379/d468149dex101.htm" TargetMode="External"/><Relationship Id="rId320" Type="http://schemas.openxmlformats.org/officeDocument/2006/relationships/hyperlink" Target="http://www.sec.gov/Archives/edgar/data/1276187/000127618718000016/ex101registrationrightsagr.htm" TargetMode="External"/><Relationship Id="rId321" Type="http://schemas.openxmlformats.org/officeDocument/2006/relationships/hyperlink" Target="http://www.sec.gov/Archives/edgar/data/1276187/000119312521046617/d139787dex101.htm" TargetMode="External"/><Relationship Id="rId322" Type="http://schemas.openxmlformats.org/officeDocument/2006/relationships/hyperlink" Target="http://www.sec.gov/Archives/edgar/data/1276187/000119312521046617/d139787dex102.htm" TargetMode="External"/><Relationship Id="rId323" Type="http://schemas.openxmlformats.org/officeDocument/2006/relationships/hyperlink" Target="http://www.sec.gov/Archives/edgar/data/0001276187/000119312521347992/d199682dex101.htm" TargetMode="External"/><Relationship Id="rId324" Type="http://schemas.openxmlformats.org/officeDocument/2006/relationships/hyperlink" Target="http://www.sec.gov/Archives/edgar/data/1012569/000119312507152768/dex1056.htm" TargetMode="External"/><Relationship Id="rId325" Type="http://schemas.openxmlformats.org/officeDocument/2006/relationships/hyperlink" Target="http://www.sec.gov/Archives/edgar/data/1012569/000095012309070600/c93573exv10w1.htm" TargetMode="External"/><Relationship Id="rId327" Type="http://schemas.openxmlformats.org/officeDocument/2006/relationships/hyperlink" Target="http://www.sec.gov/Archives/edgar/data/1161154/000116115417000085/ex101-etpcreditagreement.htm" TargetMode="External"/><Relationship Id="rId328" Type="http://schemas.openxmlformats.org/officeDocument/2006/relationships/hyperlink" Target="http://www.sec.gov/Archives/edgar/data/1161154/000119312518303207/d640788dex101.htm" TargetMode="External"/><Relationship Id="rId329" Type="http://schemas.openxmlformats.org/officeDocument/2006/relationships/hyperlink" Target="http://www.sec.gov/Archives/edgar/data/0001276187/000127618721000054/ex101-wfextensionagreement.htm" TargetMode="External"/><Relationship Id="rId330" Type="http://schemas.openxmlformats.org/officeDocument/2006/relationships/hyperlink" Target="https://www.sec.gov/Archives/edgar/data/1338613/000119312513187898/d531245dex103.htm" TargetMode="External"/><Relationship Id="rId331" Type="http://schemas.openxmlformats.org/officeDocument/2006/relationships/hyperlink" Target="http://www.sec.gov/Archives/edgar/data/1338613/000119312513187898/d531245dex103.htm" TargetMode="External"/><Relationship Id="rId332" Type="http://schemas.openxmlformats.org/officeDocument/2006/relationships/hyperlink" Target="https://www.sec.gov/Archives/edgar/data/1012569/000095013405001812/d22110exv10w2.htm" TargetMode="External"/><Relationship Id="rId333" Type="http://schemas.openxmlformats.org/officeDocument/2006/relationships/hyperlink" Target="http://www.sec.gov/Archives/edgar/data/1012569/000095013405001812/d22110exv10w2.htm" TargetMode="External"/><Relationship Id="rId334" Type="http://schemas.openxmlformats.org/officeDocument/2006/relationships/hyperlink" Target="http://www.sec.gov/Archives/edgar/data/1012569/000119312512136517/d321520dex101.htm" TargetMode="External"/><Relationship Id="rId335" Type="http://schemas.openxmlformats.org/officeDocument/2006/relationships/hyperlink" Target="https://www.sec.gov/Archives/edgar/data/1012569/000119312512136517/d321520dex102.htm" TargetMode="External"/><Relationship Id="rId336" Type="http://schemas.openxmlformats.org/officeDocument/2006/relationships/hyperlink" Target="http://www.sec.gov/Archives/edgar/data/1012569/000119312512136517/d321520dex102.htm" TargetMode="External"/><Relationship Id="rId337" Type="http://schemas.openxmlformats.org/officeDocument/2006/relationships/hyperlink" Target="https://www.sec.gov/Archives/edgar/data/1012569/000101256916000203/ex991etpformofdealeragreem.htm" TargetMode="External"/><Relationship Id="rId338" Type="http://schemas.openxmlformats.org/officeDocument/2006/relationships/hyperlink" Target="http://www.sec.gov/Archives/edgar/data/1012569/000101256916000203/ex991etpformofdealeragreem.htm" TargetMode="External"/><Relationship Id="rId339" Type="http://schemas.openxmlformats.org/officeDocument/2006/relationships/hyperlink" Target="https://www.sec.gov/Archives/edgar/data/1276187/000127618721000067/et06-30x202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2023-02-17T11:37:36Z</dcterms:created>
  <dcterms:modified xsi:type="dcterms:W3CDTF">2023-02-17T11:37:36Z</dcterms:modified>
</cp:coreProperties>
</file>