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spacing w:lineRule="auto" w:line="288" w:before="0" w:after="12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bottom w:val="single" w:sz="8"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0" w:after="283"/>
        <w:jc w:val="center"/>
        <w:rPr>
          <w:rFonts w:ascii="Times New Roman;sans-serif" w:hAnsi="Times New Roman;sans-serif"/>
          <w:b/>
          <w:color w:val="000000"/>
          <w:sz w:val="36"/>
        </w:rPr>
      </w:pPr>
      <w:r>
        <w:rPr>
          <w:rFonts w:ascii="Times New Roman;sans-serif" w:hAnsi="Times New Roman;sans-serif"/>
          <w:b/>
          <w:color w:val="000000"/>
          <w:sz w:val="36"/>
        </w:rPr>
        <w:t>FORM 10-Q</w:t>
      </w:r>
    </w:p>
    <w:tbl>
      <w:tblPr>
        <w:tblW w:w="10205" w:type="dxa"/>
        <w:jc w:val="left"/>
        <w:tblInd w:w="0" w:type="dxa"/>
        <w:tblCellMar>
          <w:top w:w="28" w:type="dxa"/>
          <w:left w:w="28" w:type="dxa"/>
          <w:bottom w:w="28" w:type="dxa"/>
          <w:right w:w="28" w:type="dxa"/>
        </w:tblCellMar>
      </w:tblPr>
      <w:tblGrid>
        <w:gridCol w:w="124"/>
        <w:gridCol w:w="109"/>
        <w:gridCol w:w="109"/>
        <w:gridCol w:w="1537"/>
        <w:gridCol w:w="1537"/>
        <w:gridCol w:w="1537"/>
        <w:gridCol w:w="1537"/>
        <w:gridCol w:w="1537"/>
        <w:gridCol w:w="217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1537" w:type="dxa"/>
            <w:tcBorders/>
            <w:shd w:fill="auto" w:val="clear"/>
            <w:vAlign w:val="center"/>
          </w:tcPr>
          <w:p>
            <w:pPr>
              <w:pStyle w:val="TableContents"/>
              <w:spacing w:before="0" w:after="283"/>
              <w:rPr>
                <w:sz w:val="4"/>
                <w:szCs w:val="4"/>
              </w:rPr>
            </w:pPr>
            <w:r>
              <w:rPr>
                <w:sz w:val="4"/>
                <w:szCs w:val="4"/>
              </w:rPr>
            </w:r>
          </w:p>
        </w:tc>
        <w:tc>
          <w:tcPr>
            <w:tcW w:w="217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4611" w:type="dxa"/>
            <w:gridSpan w:val="3"/>
            <w:tcBorders/>
            <w:shd w:fill="auto" w:val="clear"/>
            <w:vAlign w:val="center"/>
          </w:tcPr>
          <w:p>
            <w:pPr>
              <w:pStyle w:val="TableContents"/>
              <w:spacing w:before="0" w:after="283"/>
              <w:rPr>
                <w:sz w:val="4"/>
                <w:szCs w:val="4"/>
              </w:rPr>
            </w:pPr>
            <w:r>
              <w:rPr>
                <w:sz w:val="4"/>
                <w:szCs w:val="4"/>
              </w:rPr>
            </w:r>
          </w:p>
        </w:tc>
        <w:tc>
          <w:tcPr>
            <w:tcW w:w="525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 xml:space="preserve">For the quarterly period ended March 31, 2023 </w:t>
      </w:r>
    </w:p>
    <w:p>
      <w:pPr>
        <w:pStyle w:val="TextBody"/>
        <w:spacing w:before="0" w:after="0"/>
        <w:rPr/>
      </w:pPr>
      <w:r>
        <w:rPr/>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OR</w:t>
      </w:r>
    </w:p>
    <w:tbl>
      <w:tblPr>
        <w:tblW w:w="10205" w:type="dxa"/>
        <w:jc w:val="left"/>
        <w:tblInd w:w="0" w:type="dxa"/>
        <w:tblCellMar>
          <w:top w:w="28" w:type="dxa"/>
          <w:left w:w="28" w:type="dxa"/>
          <w:bottom w:w="28" w:type="dxa"/>
          <w:right w:w="28" w:type="dxa"/>
        </w:tblCellMar>
      </w:tblPr>
      <w:tblGrid>
        <w:gridCol w:w="124"/>
        <w:gridCol w:w="109"/>
        <w:gridCol w:w="109"/>
        <w:gridCol w:w="2884"/>
        <w:gridCol w:w="2884"/>
        <w:gridCol w:w="409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2884" w:type="dxa"/>
            <w:tcBorders/>
            <w:shd w:fill="auto" w:val="clear"/>
            <w:vAlign w:val="center"/>
          </w:tcPr>
          <w:p>
            <w:pPr>
              <w:pStyle w:val="TableContents"/>
              <w:spacing w:before="0" w:after="283"/>
              <w:rPr>
                <w:sz w:val="4"/>
                <w:szCs w:val="4"/>
              </w:rPr>
            </w:pPr>
            <w:r>
              <w:rPr>
                <w:sz w:val="4"/>
                <w:szCs w:val="4"/>
              </w:rPr>
            </w:r>
          </w:p>
        </w:tc>
        <w:tc>
          <w:tcPr>
            <w:tcW w:w="409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180" w:after="283"/>
              <w:jc w:val="left"/>
              <w:rPr/>
            </w:pPr>
            <w:r>
              <w:rPr>
                <w:rFonts w:ascii="Times New Roman;sans-serif" w:hAnsi="Times New Roman;sans-serif"/>
                <w:b/>
                <w:color w:val="000000"/>
                <w:sz w:val="20"/>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20"/>
              </w:rPr>
              <w:t xml:space="preserve">to </w:t>
            </w:r>
            <w:r>
              <w:rPr>
                <w:color w:val="000000"/>
                <w:u w:val="single"/>
              </w:rPr>
              <w:t>             </w:t>
            </w:r>
            <w:r>
              <w:rPr>
                <w:rFonts w:ascii="Times New Roman;sans-serif" w:hAnsi="Times New Roman;sans-serif"/>
                <w:b/>
                <w:color w:val="000000"/>
                <w:sz w:val="20"/>
              </w:rPr>
              <w:t>.</w:t>
            </w:r>
          </w:p>
        </w:tc>
      </w:tr>
    </w:tbl>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1047"/>
        <w:gridCol w:w="908"/>
        <w:gridCol w:w="911"/>
        <w:gridCol w:w="567"/>
        <w:gridCol w:w="567"/>
        <w:gridCol w:w="569"/>
        <w:gridCol w:w="1114"/>
        <w:gridCol w:w="1114"/>
        <w:gridCol w:w="1116"/>
        <w:gridCol w:w="669"/>
        <w:gridCol w:w="669"/>
        <w:gridCol w:w="954"/>
      </w:tblGrid>
      <w:tr>
        <w:trPr/>
        <w:tc>
          <w:tcPr>
            <w:tcW w:w="1047"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c>
          <w:tcPr>
            <w:tcW w:w="911"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67"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116"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c>
          <w:tcPr>
            <w:tcW w:w="954" w:type="dxa"/>
            <w:tcBorders/>
            <w:shd w:fill="auto" w:val="clear"/>
            <w:vAlign w:val="center"/>
          </w:tcPr>
          <w:p>
            <w:pPr>
              <w:pStyle w:val="TableContents"/>
              <w:spacing w:before="0" w:after="283"/>
              <w:rPr>
                <w:sz w:val="4"/>
                <w:szCs w:val="4"/>
              </w:rPr>
            </w:pPr>
            <w:r>
              <w:rPr>
                <w:sz w:val="4"/>
                <w:szCs w:val="4"/>
              </w:rPr>
            </w:r>
          </w:p>
        </w:tc>
      </w:tr>
      <w:tr>
        <w:trPr/>
        <w:tc>
          <w:tcPr>
            <w:tcW w:w="28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c>
          <w:tcPr>
            <w:tcW w:w="170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w:t>
            </w:r>
          </w:p>
        </w:tc>
        <w:tc>
          <w:tcPr>
            <w:tcW w:w="33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State or other jurisdiction of incorporation or organization</w:t>
            </w:r>
          </w:p>
        </w:tc>
        <w:tc>
          <w:tcPr>
            <w:tcW w:w="229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(I.R.S. Employer Identification No.)</w:t>
            </w:r>
          </w:p>
        </w:tc>
      </w:tr>
      <w:tr>
        <w:trPr/>
        <w:tc>
          <w:tcPr>
            <w:tcW w:w="286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Equity Partners LP</w:t>
            </w:r>
          </w:p>
        </w:tc>
        <w:tc>
          <w:tcPr>
            <w:tcW w:w="1703"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001-34664</w:t>
            </w:r>
          </w:p>
        </w:tc>
        <w:tc>
          <w:tcPr>
            <w:tcW w:w="334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2292"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43-1918951</w:t>
            </w:r>
          </w:p>
        </w:tc>
      </w:tr>
      <w:tr>
        <w:trPr/>
        <w:tc>
          <w:tcPr>
            <w:tcW w:w="286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Midstream Partners LP</w:t>
            </w:r>
          </w:p>
        </w:tc>
        <w:tc>
          <w:tcPr>
            <w:tcW w:w="1703"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001-35377</w:t>
            </w:r>
          </w:p>
        </w:tc>
        <w:tc>
          <w:tcPr>
            <w:tcW w:w="334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Delaware</w:t>
            </w:r>
          </w:p>
        </w:tc>
        <w:tc>
          <w:tcPr>
            <w:tcW w:w="2292"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20-1647837</w:t>
            </w:r>
          </w:p>
        </w:tc>
      </w:tr>
    </w:tbl>
    <w:p>
      <w:pPr>
        <w:pStyle w:val="TextBody"/>
        <w:spacing w:before="0" w:after="0"/>
        <w:jc w:val="center"/>
        <w:rPr/>
      </w:pPr>
      <w:r>
        <w:rPr/>
      </w:r>
    </w:p>
    <w:tbl>
      <w:tblPr>
        <w:tblW w:w="6224" w:type="dxa"/>
        <w:jc w:val="center"/>
        <w:tblInd w:w="0" w:type="dxa"/>
        <w:tblCellMar>
          <w:top w:w="28" w:type="dxa"/>
          <w:left w:w="28" w:type="dxa"/>
          <w:bottom w:w="28" w:type="dxa"/>
          <w:right w:w="28" w:type="dxa"/>
        </w:tblCellMar>
      </w:tblPr>
      <w:tblGrid>
        <w:gridCol w:w="1058"/>
        <w:gridCol w:w="931"/>
        <w:gridCol w:w="935"/>
        <w:gridCol w:w="329"/>
        <w:gridCol w:w="329"/>
        <w:gridCol w:w="331"/>
        <w:gridCol w:w="270"/>
        <w:gridCol w:w="270"/>
        <w:gridCol w:w="271"/>
        <w:gridCol w:w="205"/>
        <w:gridCol w:w="205"/>
        <w:gridCol w:w="206"/>
        <w:gridCol w:w="259"/>
        <w:gridCol w:w="259"/>
        <w:gridCol w:w="366"/>
      </w:tblGrid>
      <w:tr>
        <w:trPr/>
        <w:tc>
          <w:tcPr>
            <w:tcW w:w="1058"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811 Main Street</w:t>
            </w:r>
          </w:p>
        </w:tc>
        <w:tc>
          <w:tcPr>
            <w:tcW w:w="9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Suite 3400</w:t>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Houston</w:t>
            </w:r>
          </w:p>
        </w:tc>
        <w:tc>
          <w:tcPr>
            <w:tcW w:w="61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Texas</w:t>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77002</w:t>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(832) 519-2200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w:t>
      </w:r>
    </w:p>
    <w:tbl>
      <w:tblPr>
        <w:tblW w:w="387" w:type="dxa"/>
        <w:jc w:val="center"/>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color w:val="000000"/>
        </w:rPr>
      </w:pPr>
      <w:r>
        <w:rPr>
          <w:color w:val="000000"/>
        </w:rPr>
        <w:t>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10205" w:type="dxa"/>
        <w:jc w:val="left"/>
        <w:tblInd w:w="0" w:type="dxa"/>
        <w:tblCellMar>
          <w:top w:w="28" w:type="dxa"/>
          <w:left w:w="28" w:type="dxa"/>
          <w:bottom w:w="28" w:type="dxa"/>
          <w:right w:w="28" w:type="dxa"/>
        </w:tblCellMar>
      </w:tblPr>
      <w:tblGrid>
        <w:gridCol w:w="830"/>
        <w:gridCol w:w="728"/>
        <w:gridCol w:w="734"/>
        <w:gridCol w:w="1234"/>
        <w:gridCol w:w="1222"/>
        <w:gridCol w:w="1206"/>
        <w:gridCol w:w="402"/>
        <w:gridCol w:w="402"/>
        <w:gridCol w:w="404"/>
        <w:gridCol w:w="889"/>
        <w:gridCol w:w="889"/>
        <w:gridCol w:w="1265"/>
      </w:tblGrid>
      <w:tr>
        <w:trPr/>
        <w:tc>
          <w:tcPr>
            <w:tcW w:w="830"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4" w:type="dxa"/>
            <w:tcBorders/>
            <w:shd w:fill="auto" w:val="clear"/>
            <w:vAlign w:val="center"/>
          </w:tcPr>
          <w:p>
            <w:pPr>
              <w:pStyle w:val="TableContents"/>
              <w:spacing w:before="0" w:after="283"/>
              <w:rPr>
                <w:sz w:val="4"/>
                <w:szCs w:val="4"/>
              </w:rPr>
            </w:pPr>
            <w:r>
              <w:rPr>
                <w:sz w:val="4"/>
                <w:szCs w:val="4"/>
              </w:rPr>
            </w:r>
          </w:p>
        </w:tc>
        <w:tc>
          <w:tcPr>
            <w:tcW w:w="1234" w:type="dxa"/>
            <w:tcBorders/>
            <w:shd w:fill="auto" w:val="clear"/>
            <w:vAlign w:val="center"/>
          </w:tcPr>
          <w:p>
            <w:pPr>
              <w:pStyle w:val="TableContents"/>
              <w:spacing w:before="0" w:after="283"/>
              <w:rPr>
                <w:sz w:val="4"/>
                <w:szCs w:val="4"/>
              </w:rPr>
            </w:pPr>
            <w:r>
              <w:rPr>
                <w:sz w:val="4"/>
                <w:szCs w:val="4"/>
              </w:rPr>
            </w:r>
          </w:p>
        </w:tc>
        <w:tc>
          <w:tcPr>
            <w:tcW w:w="1222" w:type="dxa"/>
            <w:tcBorders/>
            <w:shd w:fill="auto" w:val="clear"/>
            <w:vAlign w:val="center"/>
          </w:tcPr>
          <w:p>
            <w:pPr>
              <w:pStyle w:val="TableContents"/>
              <w:spacing w:before="0" w:after="283"/>
              <w:rPr>
                <w:sz w:val="4"/>
                <w:szCs w:val="4"/>
              </w:rPr>
            </w:pPr>
            <w:r>
              <w:rPr>
                <w:sz w:val="4"/>
                <w:szCs w:val="4"/>
              </w:rPr>
            </w:r>
          </w:p>
        </w:tc>
        <w:tc>
          <w:tcPr>
            <w:tcW w:w="1206"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2"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889" w:type="dxa"/>
            <w:tcBorders/>
            <w:shd w:fill="auto" w:val="clear"/>
            <w:vAlign w:val="center"/>
          </w:tcPr>
          <w:p>
            <w:pPr>
              <w:pStyle w:val="TableContents"/>
              <w:spacing w:before="0" w:after="283"/>
              <w:rPr>
                <w:sz w:val="4"/>
                <w:szCs w:val="4"/>
              </w:rPr>
            </w:pPr>
            <w:r>
              <w:rPr>
                <w:sz w:val="4"/>
                <w:szCs w:val="4"/>
              </w:rPr>
            </w:r>
          </w:p>
        </w:tc>
        <w:tc>
          <w:tcPr>
            <w:tcW w:w="1265" w:type="dxa"/>
            <w:tcBorders/>
            <w:shd w:fill="auto" w:val="clear"/>
            <w:vAlign w:val="center"/>
          </w:tcPr>
          <w:p>
            <w:pPr>
              <w:pStyle w:val="TableContents"/>
              <w:spacing w:before="0" w:after="283"/>
              <w:rPr>
                <w:sz w:val="4"/>
                <w:szCs w:val="4"/>
              </w:rPr>
            </w:pPr>
            <w:r>
              <w:rPr>
                <w:sz w:val="4"/>
                <w:szCs w:val="4"/>
              </w:rPr>
            </w:r>
          </w:p>
        </w:tc>
      </w:tr>
      <w:tr>
        <w:trPr/>
        <w:tc>
          <w:tcPr>
            <w:tcW w:w="22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20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w:t>
            </w:r>
          </w:p>
        </w:tc>
        <w:tc>
          <w:tcPr>
            <w:tcW w:w="304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2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66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Common Units representing limited partnership interests</w:t>
            </w:r>
          </w:p>
        </w:tc>
        <w:tc>
          <w:tcPr>
            <w:tcW w:w="120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CEQP</w:t>
            </w:r>
          </w:p>
        </w:tc>
        <w:tc>
          <w:tcPr>
            <w:tcW w:w="304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29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662"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Units representing limited partnership interests</w:t>
            </w:r>
          </w:p>
        </w:tc>
        <w:tc>
          <w:tcPr>
            <w:tcW w:w="1208"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CEQP-P</w:t>
            </w:r>
          </w:p>
        </w:tc>
        <w:tc>
          <w:tcPr>
            <w:tcW w:w="3043" w:type="dxa"/>
            <w:gridSpan w:val="3"/>
            <w:tcBorders>
              <w:top w:val="single" w:sz="8" w:space="0" w:color="000000"/>
              <w:left w:val="single" w:sz="8" w:space="0" w:color="000000"/>
              <w:right w:val="single" w:sz="8" w:space="0" w:color="000000"/>
            </w:tcBorders>
            <w:shd w:fill="auto" w:val="clear"/>
            <w:tcMar>
              <w:top w:w="30" w:type="dxa"/>
              <w:bottom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r>
        <w:trPr/>
        <w:tc>
          <w:tcPr>
            <w:tcW w:w="229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3662"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1208"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c>
          <w:tcPr>
            <w:tcW w:w="3043" w:type="dxa"/>
            <w:gridSpan w:val="3"/>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tbl>
      <w:tblPr>
        <w:tblW w:w="4550" w:type="dxa"/>
        <w:jc w:val="left"/>
        <w:tblInd w:w="0" w:type="dxa"/>
        <w:tblCellMar>
          <w:top w:w="28" w:type="dxa"/>
          <w:left w:w="28" w:type="dxa"/>
          <w:bottom w:w="28" w:type="dxa"/>
          <w:right w:w="28" w:type="dxa"/>
        </w:tblCellMar>
      </w:tblPr>
      <w:tblGrid>
        <w:gridCol w:w="896"/>
        <w:gridCol w:w="786"/>
        <w:gridCol w:w="793"/>
        <w:gridCol w:w="109"/>
        <w:gridCol w:w="109"/>
        <w:gridCol w:w="109"/>
        <w:gridCol w:w="120"/>
        <w:gridCol w:w="120"/>
        <w:gridCol w:w="121"/>
        <w:gridCol w:w="109"/>
        <w:gridCol w:w="109"/>
        <w:gridCol w:w="109"/>
        <w:gridCol w:w="120"/>
        <w:gridCol w:w="120"/>
        <w:gridCol w:w="121"/>
        <w:gridCol w:w="109"/>
        <w:gridCol w:w="109"/>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32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(Explanatory Note: Crestwood Midstream Partners LP is currently a voluntary filer and is not subject to the filing requirements of the Securities Exchange Act of 1934. Although not subject to these filing requirements, Crestwood Midstream Partners LP has filed all reports required to be filed by Section 13 or 15(d) of the Securities Exchange Act of 1934 during the preceding 12 months.)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4550" w:type="dxa"/>
        <w:jc w:val="left"/>
        <w:tblInd w:w="0" w:type="dxa"/>
        <w:tblCellMar>
          <w:top w:w="28" w:type="dxa"/>
          <w:left w:w="28" w:type="dxa"/>
          <w:bottom w:w="28" w:type="dxa"/>
          <w:right w:w="28" w:type="dxa"/>
        </w:tblCellMar>
      </w:tblPr>
      <w:tblGrid>
        <w:gridCol w:w="896"/>
        <w:gridCol w:w="786"/>
        <w:gridCol w:w="793"/>
        <w:gridCol w:w="109"/>
        <w:gridCol w:w="109"/>
        <w:gridCol w:w="109"/>
        <w:gridCol w:w="120"/>
        <w:gridCol w:w="120"/>
        <w:gridCol w:w="121"/>
        <w:gridCol w:w="109"/>
        <w:gridCol w:w="109"/>
        <w:gridCol w:w="109"/>
        <w:gridCol w:w="120"/>
        <w:gridCol w:w="120"/>
        <w:gridCol w:w="121"/>
        <w:gridCol w:w="109"/>
        <w:gridCol w:w="109"/>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60" w:after="283"/>
              <w:jc w:val="left"/>
              <w:rPr>
                <w:color w:val="000000"/>
              </w:rPr>
            </w:pPr>
            <w:r>
              <w:rPr>
                <w:color w:val="000000"/>
              </w:rPr>
              <w:t>☐</w:t>
            </w:r>
          </w:p>
        </w:tc>
        <w:tc>
          <w:tcPr>
            <w:tcW w:w="37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32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6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center"/>
        <w:tblInd w:w="0" w:type="dxa"/>
        <w:tblCellMar>
          <w:top w:w="28" w:type="dxa"/>
          <w:left w:w="28" w:type="dxa"/>
          <w:bottom w:w="28" w:type="dxa"/>
          <w:right w:w="28" w:type="dxa"/>
        </w:tblCellMar>
      </w:tblPr>
      <w:tblGrid>
        <w:gridCol w:w="638"/>
        <w:gridCol w:w="559"/>
        <w:gridCol w:w="564"/>
        <w:gridCol w:w="435"/>
        <w:gridCol w:w="435"/>
        <w:gridCol w:w="436"/>
        <w:gridCol w:w="109"/>
        <w:gridCol w:w="109"/>
        <w:gridCol w:w="109"/>
        <w:gridCol w:w="366"/>
        <w:gridCol w:w="366"/>
        <w:gridCol w:w="367"/>
        <w:gridCol w:w="109"/>
        <w:gridCol w:w="109"/>
        <w:gridCol w:w="109"/>
        <w:gridCol w:w="471"/>
        <w:gridCol w:w="471"/>
        <w:gridCol w:w="472"/>
        <w:gridCol w:w="109"/>
        <w:gridCol w:w="109"/>
        <w:gridCol w:w="109"/>
        <w:gridCol w:w="484"/>
        <w:gridCol w:w="484"/>
        <w:gridCol w:w="486"/>
        <w:gridCol w:w="109"/>
        <w:gridCol w:w="109"/>
        <w:gridCol w:w="109"/>
        <w:gridCol w:w="494"/>
        <w:gridCol w:w="494"/>
        <w:gridCol w:w="496"/>
        <w:gridCol w:w="109"/>
        <w:gridCol w:w="109"/>
        <w:gridCol w:w="161"/>
      </w:tblGrid>
      <w:tr>
        <w:trPr/>
        <w:tc>
          <w:tcPr>
            <w:tcW w:w="638"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4"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3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1" w:type="dxa"/>
            <w:tcBorders/>
            <w:shd w:fill="auto" w:val="clear"/>
            <w:vAlign w:val="center"/>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4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761" w:type="dxa"/>
            <w:gridSpan w:val="3"/>
            <w:tcBorders/>
            <w:shd w:fill="auto" w:val="clear"/>
            <w:vAlign w:val="center"/>
          </w:tcPr>
          <w:p>
            <w:pPr>
              <w:pStyle w:val="TableContents"/>
              <w:spacing w:before="0" w:after="283"/>
              <w:rPr>
                <w:sz w:val="4"/>
                <w:szCs w:val="4"/>
              </w:rPr>
            </w:pPr>
            <w:r>
              <w:rPr>
                <w:sz w:val="4"/>
                <w:szCs w:val="4"/>
              </w:rPr>
            </w:r>
          </w:p>
        </w:tc>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84" w:type="dxa"/>
            <w:gridSpan w:val="3"/>
            <w:tcBorders/>
            <w:shd w:fill="auto" w:val="clear"/>
            <w:vAlign w:val="center"/>
          </w:tcPr>
          <w:p>
            <w:pPr>
              <w:pStyle w:val="TableContents"/>
              <w:spacing w:before="0" w:after="283"/>
              <w:rPr>
                <w:sz w:val="4"/>
                <w:szCs w:val="4"/>
              </w:rPr>
            </w:pPr>
            <w:r>
              <w:rPr>
                <w:sz w:val="4"/>
                <w:szCs w:val="4"/>
              </w:rPr>
            </w:r>
          </w:p>
        </w:tc>
        <w:tc>
          <w:tcPr>
            <w:tcW w:w="379" w:type="dxa"/>
            <w:gridSpan w:val="3"/>
            <w:tcBorders/>
            <w:shd w:fill="auto" w:val="clear"/>
            <w:vAlign w:val="center"/>
          </w:tcPr>
          <w:p>
            <w:pPr>
              <w:pStyle w:val="TableContents"/>
              <w:spacing w:before="0" w:after="283"/>
              <w:rPr>
                <w:sz w:val="4"/>
                <w:szCs w:val="4"/>
              </w:rPr>
            </w:pPr>
            <w:r>
              <w:rPr>
                <w:sz w:val="4"/>
                <w:szCs w:val="4"/>
              </w:rPr>
            </w:r>
          </w:p>
        </w:tc>
      </w:tr>
      <w:tr>
        <w:trPr/>
        <w:tc>
          <w:tcPr>
            <w:tcW w:w="1761"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1306"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09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5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1484"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9"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left"/>
              <w:rPr>
                <w:color w:val="000000"/>
              </w:rPr>
            </w:pPr>
            <w:r>
              <w:rPr>
                <w:color w:val="000000"/>
              </w:rPr>
              <w:t>☐</w:t>
            </w:r>
          </w:p>
        </w:tc>
      </w:tr>
      <w:tr>
        <w:trPr/>
        <w:tc>
          <w:tcPr>
            <w:tcW w:w="1761"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1306"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109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141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145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1484"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9"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bl>
      <w:tblPr>
        <w:tblW w:w="3174" w:type="dxa"/>
        <w:jc w:val="center"/>
        <w:tblInd w:w="0" w:type="dxa"/>
        <w:tblCellMar>
          <w:top w:w="28" w:type="dxa"/>
          <w:left w:w="28" w:type="dxa"/>
          <w:bottom w:w="28" w:type="dxa"/>
          <w:right w:w="28" w:type="dxa"/>
        </w:tblCellMar>
      </w:tblPr>
      <w:tblGrid>
        <w:gridCol w:w="896"/>
        <w:gridCol w:w="786"/>
        <w:gridCol w:w="793"/>
        <w:gridCol w:w="109"/>
        <w:gridCol w:w="109"/>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left"/>
              <w:rPr>
                <w:color w:val="000000"/>
              </w:rPr>
            </w:pPr>
            <w:r>
              <w:rPr>
                <w:color w:val="000000"/>
              </w:rPr>
              <w:t>☐</w:t>
            </w:r>
          </w:p>
        </w:tc>
      </w:tr>
      <w:tr>
        <w:trPr/>
        <w:tc>
          <w:tcPr>
            <w:tcW w:w="24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32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color w:val="000000"/>
              </w:rPr>
            </w:pPr>
            <w:r>
              <w:rPr>
                <w:color w:val="000000"/>
              </w:rPr>
              <w:t>☐</w:t>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by check mark whether the registrant is a shell company (as defined in Rule 12b-2 of the Exchange Act).</w:t>
      </w:r>
    </w:p>
    <w:tbl>
      <w:tblPr>
        <w:tblW w:w="4516" w:type="dxa"/>
        <w:jc w:val="center"/>
        <w:tblInd w:w="0" w:type="dxa"/>
        <w:tblCellMar>
          <w:top w:w="28" w:type="dxa"/>
          <w:left w:w="28" w:type="dxa"/>
          <w:bottom w:w="28" w:type="dxa"/>
          <w:right w:w="28" w:type="dxa"/>
        </w:tblCellMar>
      </w:tblPr>
      <w:tblGrid>
        <w:gridCol w:w="896"/>
        <w:gridCol w:w="786"/>
        <w:gridCol w:w="793"/>
        <w:gridCol w:w="109"/>
        <w:gridCol w:w="109"/>
        <w:gridCol w:w="109"/>
        <w:gridCol w:w="120"/>
        <w:gridCol w:w="120"/>
        <w:gridCol w:w="121"/>
        <w:gridCol w:w="109"/>
        <w:gridCol w:w="109"/>
        <w:gridCol w:w="109"/>
        <w:gridCol w:w="109"/>
        <w:gridCol w:w="109"/>
        <w:gridCol w:w="109"/>
        <w:gridCol w:w="109"/>
        <w:gridCol w:w="109"/>
        <w:gridCol w:w="109"/>
        <w:gridCol w:w="109"/>
        <w:gridCol w:w="109"/>
        <w:gridCol w:w="154"/>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top w:val="single" w:sz="8" w:space="0" w:color="000000"/>
              <w:right w:val="single" w:sz="8" w:space="0" w:color="000000"/>
            </w:tcBorders>
            <w:shd w:fill="auto" w:val="clear"/>
            <w:tcMar>
              <w:left w:w="0" w:type="dxa"/>
              <w:bottom w:w="0" w:type="dxa"/>
            </w:tcM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32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6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Yes</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w:t>
            </w:r>
          </w:p>
        </w:tc>
        <w:tc>
          <w:tcPr>
            <w:tcW w:w="32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color w:val="000000"/>
              </w:rPr>
            </w:pPr>
            <w:r>
              <w:rPr>
                <w:color w:val="000000"/>
              </w:rPr>
              <w:t>☒</w:t>
            </w:r>
          </w:p>
        </w:tc>
        <w:tc>
          <w:tcPr>
            <w:tcW w:w="372" w:type="dxa"/>
            <w:gridSpan w:val="3"/>
            <w:tcBorders>
              <w:top w:val="single" w:sz="8" w:space="0" w:color="000000"/>
              <w:bottom w:val="single" w:sz="8" w:space="0" w:color="000000"/>
              <w:right w:val="single" w:sz="8" w:space="0" w:color="000000"/>
            </w:tcBorders>
            <w:shd w:fill="auto" w:val="clear"/>
            <w:tcMar>
              <w:lef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Indicate the number of shares outstanding of each of the issuer’s classes of common stock, as of the latest practicable date (April 28, 2023).</w:t>
      </w:r>
    </w:p>
    <w:tbl>
      <w:tblPr>
        <w:tblW w:w="3853" w:type="dxa"/>
        <w:jc w:val="left"/>
        <w:tblInd w:w="0" w:type="dxa"/>
        <w:tblCellMar>
          <w:top w:w="28" w:type="dxa"/>
          <w:left w:w="28" w:type="dxa"/>
          <w:bottom w:w="28" w:type="dxa"/>
          <w:right w:w="28" w:type="dxa"/>
        </w:tblCellMar>
      </w:tblPr>
      <w:tblGrid>
        <w:gridCol w:w="896"/>
        <w:gridCol w:w="786"/>
        <w:gridCol w:w="793"/>
        <w:gridCol w:w="109"/>
        <w:gridCol w:w="109"/>
        <w:gridCol w:w="109"/>
        <w:gridCol w:w="307"/>
        <w:gridCol w:w="307"/>
        <w:gridCol w:w="437"/>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437"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r>
      <w:tr>
        <w:trPr/>
        <w:tc>
          <w:tcPr>
            <w:tcW w:w="2475"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Equity Partners LP</w:t>
            </w:r>
          </w:p>
        </w:tc>
        <w:tc>
          <w:tcPr>
            <w:tcW w:w="327"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105,259,769</w:t>
            </w:r>
          </w:p>
        </w:tc>
      </w:tr>
      <w:tr>
        <w:trPr/>
        <w:tc>
          <w:tcPr>
            <w:tcW w:w="2475"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Crestwood Midstream Partners LP</w:t>
            </w:r>
          </w:p>
        </w:tc>
        <w:tc>
          <w:tcPr>
            <w:tcW w:w="327"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w:t>
            </w:r>
          </w:p>
        </w:tc>
      </w:tr>
    </w:tbl>
    <w:p>
      <w:pPr>
        <w:pStyle w:val="TextBody"/>
        <w:spacing w:before="0" w:after="0"/>
        <w:jc w:val="center"/>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Crestwood Midstream Partners LP, as a wholly-owned subsidiary of a reporting company, meets the conditions set forth in General Instruction H(1)(a) and (b) of Form 10-Q and is therefore filing this report with the reduced disclosure format as permitted by such instruction.</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EQUITY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MIDSTREAM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INDEX TO FORM 10-Q</w:t>
      </w:r>
    </w:p>
    <w:tbl>
      <w:tblPr>
        <w:tblW w:w="8550" w:type="dxa"/>
        <w:jc w:val="center"/>
        <w:tblInd w:w="0" w:type="dxa"/>
        <w:tblCellMar>
          <w:top w:w="28" w:type="dxa"/>
          <w:left w:w="28" w:type="dxa"/>
          <w:bottom w:w="28" w:type="dxa"/>
          <w:right w:w="28" w:type="dxa"/>
        </w:tblCellMar>
      </w:tblPr>
      <w:tblGrid>
        <w:gridCol w:w="2892"/>
        <w:gridCol w:w="2537"/>
        <w:gridCol w:w="2550"/>
        <w:gridCol w:w="167"/>
        <w:gridCol w:w="167"/>
        <w:gridCol w:w="237"/>
      </w:tblGrid>
      <w:tr>
        <w:trPr/>
        <w:tc>
          <w:tcPr>
            <w:tcW w:w="2892" w:type="dxa"/>
            <w:tcBorders/>
            <w:shd w:fill="auto" w:val="clear"/>
            <w:vAlign w:val="center"/>
          </w:tcPr>
          <w:p>
            <w:pPr>
              <w:pStyle w:val="TableContents"/>
              <w:spacing w:before="0" w:after="283"/>
              <w:rPr>
                <w:sz w:val="4"/>
                <w:szCs w:val="4"/>
              </w:rPr>
            </w:pPr>
            <w:r>
              <w:rPr>
                <w:sz w:val="4"/>
                <w:szCs w:val="4"/>
              </w:rPr>
            </w:r>
          </w:p>
        </w:tc>
        <w:tc>
          <w:tcPr>
            <w:tcW w:w="2537" w:type="dxa"/>
            <w:tcBorders/>
            <w:shd w:fill="auto" w:val="clear"/>
            <w:vAlign w:val="center"/>
          </w:tcPr>
          <w:p>
            <w:pPr>
              <w:pStyle w:val="TableContents"/>
              <w:spacing w:before="0" w:after="283"/>
              <w:rPr>
                <w:sz w:val="4"/>
                <w:szCs w:val="4"/>
              </w:rPr>
            </w:pPr>
            <w:r>
              <w:rPr>
                <w:sz w:val="4"/>
                <w:szCs w:val="4"/>
              </w:rPr>
            </w:r>
          </w:p>
        </w:tc>
        <w:tc>
          <w:tcPr>
            <w:tcW w:w="2550"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16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0">
              <w:r>
                <w:rPr>
                  <w:rStyle w:val="InternetLink"/>
                  <w:rFonts w:ascii="Times New Roman;sans-serif" w:hAnsi="Times New Roman;sans-serif"/>
                  <w:b/>
                  <w:color w:val="0000FF"/>
                  <w:sz w:val="20"/>
                  <w:u w:val="single"/>
                </w:rPr>
                <w:t>Part I – Financial Information</w:t>
              </w:r>
            </w:hyperlink>
          </w:p>
        </w:tc>
        <w:tc>
          <w:tcPr>
            <w:tcW w:w="57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3">
              <w:r>
                <w:rPr>
                  <w:rStyle w:val="InternetLink"/>
                  <w:rFonts w:ascii="Times New Roman;sans-serif" w:hAnsi="Times New Roman;sans-serif"/>
                  <w:b w:val="false"/>
                  <w:color w:val="0000FF"/>
                  <w:sz w:val="20"/>
                  <w:u w:val="single"/>
                </w:rPr>
                <w:t>Item 1. Financial Statements (Unaudited):</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9">
              <w:r>
                <w:rPr>
                  <w:rStyle w:val="InternetLink"/>
                  <w:rFonts w:ascii="Times New Roman;sans-serif" w:hAnsi="Times New Roman;sans-serif"/>
                  <w:b w:val="false"/>
                  <w:color w:val="0000FF"/>
                  <w:sz w:val="20"/>
                  <w:u w:val="single"/>
                </w:rPr>
                <w:t>Crestwood Equity Partners LP</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9">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9">
              <w:r>
                <w:rPr>
                  <w:rStyle w:val="InternetLink"/>
                  <w:rFonts w:ascii="Times New Roman;sans-serif" w:hAnsi="Times New Roman;sans-serif"/>
                  <w:b w:val="false"/>
                  <w:color w:val="0000FF"/>
                  <w:sz w:val="20"/>
                  <w:u w:val="single"/>
                </w:rPr>
                <w:t>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2f46630dd544a3ba34f0c225dd437a5_22">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22">
              <w:r>
                <w:rPr>
                  <w:rStyle w:val="InternetLink"/>
                  <w:rFonts w:ascii="Times New Roman;sans-serif" w:hAnsi="Times New Roman;sans-serif"/>
                  <w:b w:val="false"/>
                  <w:color w:val="0000FF"/>
                  <w:sz w:val="20"/>
                  <w:u w:val="single"/>
                </w:rPr>
                <w:t>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25">
              <w:r>
                <w:rPr>
                  <w:rStyle w:val="InternetLink"/>
                  <w:rFonts w:ascii="Times New Roman;sans-serif" w:hAnsi="Times New Roman;sans-serif"/>
                  <w:b w:val="false"/>
                  <w:color w:val="0000FF"/>
                  <w:sz w:val="20"/>
                  <w:u w:val="single"/>
                </w:rPr>
                <w:t>Consolidated Statements of Partners’ Capital</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25">
              <w:r>
                <w:rPr>
                  <w:rStyle w:val="InternetLink"/>
                  <w:rFonts w:ascii="Times New Roman;sans-serif" w:hAnsi="Times New Roman;sans-serif"/>
                  <w:b w:val="false"/>
                  <w:color w:val="0000FF"/>
                  <w:sz w:val="20"/>
                  <w:u w:val="single"/>
                </w:rPr>
                <w:t>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28">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28">
              <w:r>
                <w:rPr>
                  <w:rStyle w:val="InternetLink"/>
                  <w:rFonts w:ascii="Times New Roman;sans-serif" w:hAnsi="Times New Roman;sans-serif"/>
                  <w:b w:val="false"/>
                  <w:color w:val="0000FF"/>
                  <w:sz w:val="20"/>
                  <w:u w:val="single"/>
                </w:rPr>
                <w:t>7</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34">
              <w:r>
                <w:rPr>
                  <w:rStyle w:val="InternetLink"/>
                  <w:rFonts w:ascii="Times New Roman;sans-serif" w:hAnsi="Times New Roman;sans-serif"/>
                  <w:b w:val="false"/>
                  <w:color w:val="0000FF"/>
                  <w:sz w:val="20"/>
                  <w:u w:val="single"/>
                </w:rPr>
                <w:t>Crestwood Midstream Partners LP</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34">
              <w:r>
                <w:rPr>
                  <w:rStyle w:val="InternetLink"/>
                  <w:rFonts w:ascii="Times New Roman;sans-serif" w:hAnsi="Times New Roman;sans-serif"/>
                  <w:b w:val="false"/>
                  <w:color w:val="0000FF"/>
                  <w:sz w:val="20"/>
                  <w:u w:val="single"/>
                </w:rPr>
                <w:t>Consolidated Balance Sheets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34">
              <w:r>
                <w:rPr>
                  <w:rStyle w:val="InternetLink"/>
                  <w:rFonts w:ascii="Times New Roman;sans-serif" w:hAnsi="Times New Roman;sans-serif"/>
                  <w:b w:val="false"/>
                  <w:color w:val="0000FF"/>
                  <w:sz w:val="20"/>
                  <w:u w:val="single"/>
                </w:rPr>
                <w:t>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ind w:left="0" w:right="0" w:hanging="360"/>
              <w:jc w:val="left"/>
              <w:rPr/>
            </w:pPr>
            <w:hyperlink w:anchor="i72f46630dd544a3ba34f0c225dd437a5_37">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37">
              <w:r>
                <w:rPr>
                  <w:rStyle w:val="InternetLink"/>
                  <w:rFonts w:ascii="Times New Roman;sans-serif" w:hAnsi="Times New Roman;sans-serif"/>
                  <w:b w:val="false"/>
                  <w:color w:val="0000FF"/>
                  <w:sz w:val="20"/>
                  <w:u w:val="single"/>
                </w:rPr>
                <w:t>9</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40">
              <w:r>
                <w:rPr>
                  <w:rStyle w:val="InternetLink"/>
                  <w:rFonts w:ascii="Times New Roman;sans-serif" w:hAnsi="Times New Roman;sans-serif"/>
                  <w:b w:val="false"/>
                  <w:color w:val="0000FF"/>
                  <w:sz w:val="20"/>
                  <w:u w:val="single"/>
                </w:rPr>
                <w:t>Consolidated Statements of Partners’ Capital</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40">
              <w:r>
                <w:rPr>
                  <w:rStyle w:val="InternetLink"/>
                  <w:rFonts w:ascii="Times New Roman;sans-serif" w:hAnsi="Times New Roman;sans-serif"/>
                  <w:b w:val="false"/>
                  <w:color w:val="0000FF"/>
                  <w:sz w:val="20"/>
                  <w:u w:val="single"/>
                </w:rPr>
                <w:t>10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43">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43">
              <w:r>
                <w:rPr>
                  <w:rStyle w:val="InternetLink"/>
                  <w:rFonts w:ascii="Times New Roman;sans-serif" w:hAnsi="Times New Roman;sans-serif"/>
                  <w:b w:val="false"/>
                  <w:color w:val="0000FF"/>
                  <w:sz w:val="20"/>
                  <w:u w:val="single"/>
                </w:rPr>
                <w:t>11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46">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46">
              <w:r>
                <w:rPr>
                  <w:rStyle w:val="InternetLink"/>
                  <w:rFonts w:ascii="Times New Roman;sans-serif" w:hAnsi="Times New Roman;sans-serif"/>
                  <w:b w:val="false"/>
                  <w:color w:val="0000FF"/>
                  <w:sz w:val="20"/>
                  <w:u w:val="single"/>
                </w:rPr>
                <w:t>12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49">
              <w:r>
                <w:rPr>
                  <w:rStyle w:val="InternetLink"/>
                  <w:rFonts w:ascii="Times New Roman;sans-serif" w:hAnsi="Times New Roman;sans-serif"/>
                  <w:b w:val="false"/>
                  <w:color w:val="0000FF"/>
                  <w:sz w:val="20"/>
                  <w:u w:val="single"/>
                </w:rPr>
                <w:t>Note 1. Organization and Business Description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49">
              <w:r>
                <w:rPr>
                  <w:rStyle w:val="InternetLink"/>
                  <w:rFonts w:ascii="Times New Roman;sans-serif" w:hAnsi="Times New Roman;sans-serif"/>
                  <w:b w:val="false"/>
                  <w:color w:val="0000FF"/>
                  <w:sz w:val="20"/>
                  <w:u w:val="single"/>
                </w:rPr>
                <w:t>12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52">
              <w:r>
                <w:rPr>
                  <w:rStyle w:val="InternetLink"/>
                  <w:rFonts w:ascii="Times New Roman;sans-serif" w:hAnsi="Times New Roman;sans-serif"/>
                  <w:b w:val="false"/>
                  <w:color w:val="0000FF"/>
                  <w:sz w:val="20"/>
                  <w:u w:val="single"/>
                </w:rPr>
                <w:t>Note 2. Basis of Presentation and Summary of Significant Accounting Policies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52">
              <w:r>
                <w:rPr>
                  <w:rStyle w:val="InternetLink"/>
                  <w:rFonts w:ascii="Times New Roman;sans-serif" w:hAnsi="Times New Roman;sans-serif"/>
                  <w:b w:val="false"/>
                  <w:color w:val="0000FF"/>
                  <w:sz w:val="20"/>
                  <w:u w:val="single"/>
                </w:rPr>
                <w:t>12</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55">
              <w:r>
                <w:rPr>
                  <w:rStyle w:val="InternetLink"/>
                  <w:rFonts w:ascii="Times New Roman;sans-serif" w:hAnsi="Times New Roman;sans-serif"/>
                  <w:b w:val="false"/>
                  <w:color w:val="0000FF"/>
                  <w:sz w:val="20"/>
                  <w:u w:val="single"/>
                </w:rPr>
                <w:t>Note 3. Acquisition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55">
              <w:r>
                <w:rPr>
                  <w:rStyle w:val="InternetLink"/>
                  <w:rFonts w:ascii="Times New Roman;sans-serif" w:hAnsi="Times New Roman;sans-serif"/>
                  <w:b w:val="false"/>
                  <w:color w:val="0000FF"/>
                  <w:sz w:val="20"/>
                  <w:u w:val="single"/>
                </w:rPr>
                <w:t>13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58">
              <w:r>
                <w:rPr>
                  <w:rStyle w:val="InternetLink"/>
                  <w:rFonts w:ascii="Times New Roman;sans-serif" w:hAnsi="Times New Roman;sans-serif"/>
                  <w:b w:val="false"/>
                  <w:color w:val="0000FF"/>
                  <w:sz w:val="20"/>
                  <w:u w:val="single"/>
                </w:rPr>
                <w:t>Note 4. Certain Balance Sheet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58">
              <w:r>
                <w:rPr>
                  <w:rStyle w:val="InternetLink"/>
                  <w:rFonts w:ascii="Times New Roman;sans-serif" w:hAnsi="Times New Roman;sans-serif"/>
                  <w:b w:val="false"/>
                  <w:color w:val="0000FF"/>
                  <w:sz w:val="20"/>
                  <w:u w:val="single"/>
                </w:rPr>
                <w:t>13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61">
              <w:r>
                <w:rPr>
                  <w:rStyle w:val="InternetLink"/>
                  <w:rFonts w:ascii="Times New Roman;sans-serif" w:hAnsi="Times New Roman;sans-serif"/>
                  <w:b w:val="false"/>
                  <w:color w:val="0000FF"/>
                  <w:sz w:val="20"/>
                  <w:u w:val="single"/>
                </w:rPr>
                <w:t>Note 5. Investments in Unconsolidated Affiliates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61">
              <w:r>
                <w:rPr>
                  <w:rStyle w:val="InternetLink"/>
                  <w:rFonts w:ascii="Times New Roman;sans-serif" w:hAnsi="Times New Roman;sans-serif"/>
                  <w:b w:val="false"/>
                  <w:color w:val="0000FF"/>
                  <w:sz w:val="20"/>
                  <w:u w:val="single"/>
                </w:rPr>
                <w:t>14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64">
              <w:r>
                <w:rPr>
                  <w:rStyle w:val="InternetLink"/>
                  <w:rFonts w:ascii="Times New Roman;sans-serif" w:hAnsi="Times New Roman;sans-serif"/>
                  <w:b w:val="false"/>
                  <w:color w:val="0000FF"/>
                  <w:sz w:val="20"/>
                  <w:u w:val="single"/>
                </w:rPr>
                <w:t>Note 6. Risk Management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64">
              <w:r>
                <w:rPr>
                  <w:rStyle w:val="InternetLink"/>
                  <w:rFonts w:ascii="Times New Roman;sans-serif" w:hAnsi="Times New Roman;sans-serif"/>
                  <w:b w:val="false"/>
                  <w:color w:val="0000FF"/>
                  <w:sz w:val="20"/>
                  <w:u w:val="single"/>
                </w:rPr>
                <w:t>15</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67">
              <w:r>
                <w:rPr>
                  <w:rStyle w:val="InternetLink"/>
                  <w:rFonts w:ascii="Times New Roman;sans-serif" w:hAnsi="Times New Roman;sans-serif"/>
                  <w:b w:val="false"/>
                  <w:color w:val="0000FF"/>
                  <w:sz w:val="20"/>
                  <w:u w:val="single"/>
                </w:rPr>
                <w:t>Note 7. Fair Value Measurements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67">
              <w:r>
                <w:rPr>
                  <w:rStyle w:val="InternetLink"/>
                  <w:rFonts w:ascii="Times New Roman;sans-serif" w:hAnsi="Times New Roman;sans-serif"/>
                  <w:b w:val="false"/>
                  <w:color w:val="0000FF"/>
                  <w:sz w:val="20"/>
                  <w:u w:val="single"/>
                </w:rPr>
                <w:t>16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70">
              <w:r>
                <w:rPr>
                  <w:rStyle w:val="InternetLink"/>
                  <w:rFonts w:ascii="Times New Roman;sans-serif" w:hAnsi="Times New Roman;sans-serif"/>
                  <w:b w:val="false"/>
                  <w:color w:val="0000FF"/>
                  <w:sz w:val="20"/>
                  <w:u w:val="single"/>
                </w:rPr>
                <w:t>Note 8. Long-Term Debt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70">
              <w:r>
                <w:rPr>
                  <w:rStyle w:val="InternetLink"/>
                  <w:rFonts w:ascii="Times New Roman;sans-serif" w:hAnsi="Times New Roman;sans-serif"/>
                  <w:b w:val="false"/>
                  <w:color w:val="0000FF"/>
                  <w:sz w:val="20"/>
                  <w:u w:val="single"/>
                </w:rPr>
                <w:t>18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73">
              <w:r>
                <w:rPr>
                  <w:rStyle w:val="InternetLink"/>
                  <w:rFonts w:ascii="Times New Roman;sans-serif" w:hAnsi="Times New Roman;sans-serif"/>
                  <w:b w:val="false"/>
                  <w:color w:val="0000FF"/>
                  <w:sz w:val="20"/>
                  <w:u w:val="single"/>
                </w:rPr>
                <w:t>Note 9. Commitments and Contingencies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73">
              <w:r>
                <w:rPr>
                  <w:rStyle w:val="InternetLink"/>
                  <w:rFonts w:ascii="Times New Roman;sans-serif" w:hAnsi="Times New Roman;sans-serif"/>
                  <w:b w:val="false"/>
                  <w:color w:val="0000FF"/>
                  <w:sz w:val="20"/>
                  <w:u w:val="single"/>
                </w:rPr>
                <w:t>19</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76">
              <w:r>
                <w:rPr>
                  <w:rStyle w:val="InternetLink"/>
                  <w:rFonts w:ascii="Times New Roman;sans-serif" w:hAnsi="Times New Roman;sans-serif"/>
                  <w:b w:val="false"/>
                  <w:color w:val="0000FF"/>
                  <w:sz w:val="20"/>
                  <w:u w:val="single"/>
                </w:rPr>
                <w:t>Note 10. Leases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76">
              <w:r>
                <w:rPr>
                  <w:rStyle w:val="InternetLink"/>
                  <w:rFonts w:ascii="Times New Roman;sans-serif" w:hAnsi="Times New Roman;sans-serif"/>
                  <w:b w:val="false"/>
                  <w:color w:val="0000FF"/>
                  <w:sz w:val="20"/>
                  <w:u w:val="single"/>
                </w:rPr>
                <w:t>21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79">
              <w:r>
                <w:rPr>
                  <w:rStyle w:val="InternetLink"/>
                  <w:rFonts w:ascii="Times New Roman;sans-serif" w:hAnsi="Times New Roman;sans-serif"/>
                  <w:b w:val="false"/>
                  <w:color w:val="0000FF"/>
                  <w:sz w:val="20"/>
                  <w:u w:val="single"/>
                </w:rPr>
                <w:t>Note 11. Partners’ Capital and Non-Controlling Partner</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79">
              <w:r>
                <w:rPr>
                  <w:rStyle w:val="InternetLink"/>
                  <w:rFonts w:ascii="Times New Roman;sans-serif" w:hAnsi="Times New Roman;sans-serif"/>
                  <w:b w:val="false"/>
                  <w:color w:val="0000FF"/>
                  <w:sz w:val="20"/>
                  <w:u w:val="single"/>
                </w:rPr>
                <w:t>21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82">
              <w:r>
                <w:rPr>
                  <w:rStyle w:val="InternetLink"/>
                  <w:rFonts w:ascii="Times New Roman;sans-serif" w:hAnsi="Times New Roman;sans-serif"/>
                  <w:b w:val="false"/>
                  <w:color w:val="0000FF"/>
                  <w:sz w:val="20"/>
                  <w:u w:val="single"/>
                </w:rPr>
                <w:t>Note 12. Earnings Per Limited Partner Unit</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82">
              <w:r>
                <w:rPr>
                  <w:rStyle w:val="InternetLink"/>
                  <w:rFonts w:ascii="Times New Roman;sans-serif" w:hAnsi="Times New Roman;sans-serif"/>
                  <w:b w:val="false"/>
                  <w:color w:val="0000FF"/>
                  <w:sz w:val="20"/>
                  <w:u w:val="single"/>
                </w:rPr>
                <w:t>23</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85">
              <w:r>
                <w:rPr>
                  <w:rStyle w:val="InternetLink"/>
                  <w:rFonts w:ascii="Times New Roman;sans-serif" w:hAnsi="Times New Roman;sans-serif"/>
                  <w:b w:val="false"/>
                  <w:color w:val="0000FF"/>
                  <w:sz w:val="20"/>
                  <w:u w:val="single"/>
                </w:rPr>
                <w:t>Note 13. Segments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85">
              <w:r>
                <w:rPr>
                  <w:rStyle w:val="InternetLink"/>
                  <w:rFonts w:ascii="Times New Roman;sans-serif" w:hAnsi="Times New Roman;sans-serif"/>
                  <w:b w:val="false"/>
                  <w:color w:val="0000FF"/>
                  <w:sz w:val="20"/>
                  <w:u w:val="single"/>
                </w:rPr>
                <w:t>24</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88">
              <w:r>
                <w:rPr>
                  <w:rStyle w:val="InternetLink"/>
                  <w:rFonts w:ascii="Times New Roman;sans-serif" w:hAnsi="Times New Roman;sans-serif"/>
                  <w:b w:val="false"/>
                  <w:color w:val="0000FF"/>
                  <w:sz w:val="20"/>
                  <w:u w:val="single"/>
                </w:rPr>
                <w:t>Note 14. Revenues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88">
              <w:r>
                <w:rPr>
                  <w:rStyle w:val="InternetLink"/>
                  <w:rFonts w:ascii="Times New Roman;sans-serif" w:hAnsi="Times New Roman;sans-serif"/>
                  <w:b w:val="false"/>
                  <w:color w:val="0000FF"/>
                  <w:sz w:val="20"/>
                  <w:u w:val="single"/>
                </w:rPr>
                <w:t>26</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94">
              <w:r>
                <w:rPr>
                  <w:rStyle w:val="InternetLink"/>
                  <w:rFonts w:ascii="Times New Roman;sans-serif" w:hAnsi="Times New Roman;sans-serif"/>
                  <w:b w:val="false"/>
                  <w:color w:val="0000FF"/>
                  <w:sz w:val="20"/>
                  <w:u w:val="single"/>
                </w:rPr>
                <w:t>Note 15. Related Party Transactions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94">
              <w:r>
                <w:rPr>
                  <w:rStyle w:val="InternetLink"/>
                  <w:rFonts w:ascii="Times New Roman;sans-serif" w:hAnsi="Times New Roman;sans-serif"/>
                  <w:b w:val="false"/>
                  <w:color w:val="0000FF"/>
                  <w:sz w:val="20"/>
                  <w:u w:val="single"/>
                </w:rPr>
                <w:t>28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vAlign w:val="center"/>
          </w:tcPr>
          <w:p>
            <w:pPr>
              <w:pStyle w:val="TableContents"/>
              <w:spacing w:before="0" w:after="283"/>
              <w:rPr>
                <w:sz w:val="4"/>
                <w:szCs w:val="4"/>
              </w:rPr>
            </w:pPr>
            <w:r>
              <w:rPr>
                <w:sz w:val="4"/>
                <w:szCs w:val="4"/>
              </w:rPr>
            </w:r>
          </w:p>
        </w:tc>
        <w:tc>
          <w:tcPr>
            <w:tcW w:w="571" w:type="dxa"/>
            <w:gridSpan w:val="3"/>
            <w:tcBorders/>
            <w:shd w:fill="auto" w:val="cle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03">
              <w:r>
                <w:rPr>
                  <w:rStyle w:val="InternetLink"/>
                  <w:rFonts w:ascii="Times New Roman;sans-serif" w:hAnsi="Times New Roman;sans-serif"/>
                  <w:b w:val="false"/>
                  <w:color w:val="0000FF"/>
                  <w:sz w:val="20"/>
                  <w:u w:val="single"/>
                </w:rPr>
                <w:t>Item 2. Management’s Discussion and Analysis of Financial Condition and Results of Operations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03">
              <w:r>
                <w:rPr>
                  <w:rStyle w:val="InternetLink"/>
                  <w:rFonts w:ascii="Times New Roman;sans-serif" w:hAnsi="Times New Roman;sans-serif"/>
                  <w:b w:val="false"/>
                  <w:color w:val="0000FF"/>
                  <w:sz w:val="20"/>
                  <w:u w:val="single"/>
                </w:rPr>
                <w:t>30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21">
              <w:r>
                <w:rPr>
                  <w:rStyle w:val="InternetLink"/>
                  <w:rFonts w:ascii="Times New Roman;sans-serif" w:hAnsi="Times New Roman;sans-serif"/>
                  <w:b w:val="false"/>
                  <w:color w:val="0000FF"/>
                  <w:sz w:val="20"/>
                  <w:u w:val="single"/>
                </w:rPr>
                <w:t>Item 3. Quantitative and Qualitative Disclosures About Market Risk</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21">
              <w:r>
                <w:rPr>
                  <w:rStyle w:val="InternetLink"/>
                  <w:rFonts w:ascii="Times New Roman;sans-serif" w:hAnsi="Times New Roman;sans-serif"/>
                  <w:b w:val="false"/>
                  <w:color w:val="0000FF"/>
                  <w:sz w:val="20"/>
                  <w:u w:val="single"/>
                </w:rPr>
                <w:t>38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24">
              <w:r>
                <w:rPr>
                  <w:rStyle w:val="InternetLink"/>
                  <w:rFonts w:ascii="Times New Roman;sans-serif" w:hAnsi="Times New Roman;sans-serif"/>
                  <w:b w:val="false"/>
                  <w:color w:val="0000FF"/>
                  <w:sz w:val="20"/>
                  <w:u w:val="single"/>
                </w:rPr>
                <w:t>Item 4. Controls and Procedures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24">
              <w:r>
                <w:rPr>
                  <w:rStyle w:val="InternetLink"/>
                  <w:rFonts w:ascii="Times New Roman;sans-serif" w:hAnsi="Times New Roman;sans-serif"/>
                  <w:b w:val="false"/>
                  <w:color w:val="0000FF"/>
                  <w:sz w:val="20"/>
                  <w:u w:val="single"/>
                </w:rPr>
                <w:t>38</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27">
              <w:r>
                <w:rPr>
                  <w:rStyle w:val="InternetLink"/>
                  <w:rFonts w:ascii="Times New Roman;sans-serif" w:hAnsi="Times New Roman;sans-serif"/>
                  <w:b/>
                  <w:color w:val="0000FF"/>
                  <w:sz w:val="20"/>
                  <w:u w:val="single"/>
                </w:rPr>
                <w:t>Part II – 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30">
              <w:r>
                <w:rPr>
                  <w:rStyle w:val="InternetLink"/>
                  <w:rFonts w:ascii="Times New Roman;sans-serif" w:hAnsi="Times New Roman;sans-serif"/>
                  <w:b w:val="false"/>
                  <w:color w:val="0000FF"/>
                  <w:sz w:val="20"/>
                  <w:u w:val="single"/>
                </w:rPr>
                <w:t>Item 1. Legal Proceedings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30">
              <w:r>
                <w:rPr>
                  <w:rStyle w:val="InternetLink"/>
                  <w:rFonts w:ascii="Times New Roman;sans-serif" w:hAnsi="Times New Roman;sans-serif"/>
                  <w:b w:val="false"/>
                  <w:color w:val="0000FF"/>
                  <w:sz w:val="20"/>
                  <w:u w:val="single"/>
                </w:rPr>
                <w:t>40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33">
              <w:r>
                <w:rPr>
                  <w:rStyle w:val="InternetLink"/>
                  <w:rFonts w:ascii="Times New Roman;sans-serif" w:hAnsi="Times New Roman;sans-serif"/>
                  <w:b w:val="false"/>
                  <w:color w:val="0000FF"/>
                  <w:sz w:val="20"/>
                  <w:u w:val="single"/>
                </w:rPr>
                <w:t>Item 1A. Risk Factors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33">
              <w:r>
                <w:rPr>
                  <w:rStyle w:val="InternetLink"/>
                  <w:rFonts w:ascii="Times New Roman;sans-serif" w:hAnsi="Times New Roman;sans-serif"/>
                  <w:b w:val="false"/>
                  <w:color w:val="0000FF"/>
                  <w:sz w:val="20"/>
                  <w:u w:val="single"/>
                </w:rPr>
                <w:t>40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36">
              <w:r>
                <w:rPr>
                  <w:rStyle w:val="InternetLink"/>
                  <w:rFonts w:ascii="Times New Roman;sans-serif" w:hAnsi="Times New Roman;sans-serif"/>
                  <w:b w:val="false"/>
                  <w:color w:val="0000FF"/>
                  <w:sz w:val="20"/>
                  <w:u w:val="single"/>
                </w:rPr>
                <w:t>Item 2. Unregistered Sales of Equity Securities and Use of Proceeds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36">
              <w:r>
                <w:rPr>
                  <w:rStyle w:val="InternetLink"/>
                  <w:rFonts w:ascii="Times New Roman;sans-serif" w:hAnsi="Times New Roman;sans-serif"/>
                  <w:b w:val="false"/>
                  <w:color w:val="0000FF"/>
                  <w:sz w:val="20"/>
                  <w:u w:val="single"/>
                </w:rPr>
                <w:t>40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39">
              <w:r>
                <w:rPr>
                  <w:rStyle w:val="InternetLink"/>
                  <w:rFonts w:ascii="Times New Roman;sans-serif" w:hAnsi="Times New Roman;sans-serif"/>
                  <w:b w:val="false"/>
                  <w:color w:val="0000FF"/>
                  <w:sz w:val="20"/>
                  <w:u w:val="single"/>
                </w:rPr>
                <w:t>Item 3. Defaults Upon Senior Securities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39">
              <w:r>
                <w:rPr>
                  <w:rStyle w:val="InternetLink"/>
                  <w:rFonts w:ascii="Times New Roman;sans-serif" w:hAnsi="Times New Roman;sans-serif"/>
                  <w:b w:val="false"/>
                  <w:color w:val="0000FF"/>
                  <w:sz w:val="20"/>
                  <w:u w:val="single"/>
                </w:rPr>
                <w:t>40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42">
              <w:r>
                <w:rPr>
                  <w:rStyle w:val="InternetLink"/>
                  <w:rFonts w:ascii="Times New Roman;sans-serif" w:hAnsi="Times New Roman;sans-serif"/>
                  <w:b w:val="false"/>
                  <w:color w:val="0000FF"/>
                  <w:sz w:val="20"/>
                  <w:u w:val="single"/>
                </w:rPr>
                <w:t>Item 4. Mine Safety Disclosures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42">
              <w:r>
                <w:rPr>
                  <w:rStyle w:val="InternetLink"/>
                  <w:rFonts w:ascii="Times New Roman;sans-serif" w:hAnsi="Times New Roman;sans-serif"/>
                  <w:b w:val="false"/>
                  <w:color w:val="0000FF"/>
                  <w:sz w:val="20"/>
                  <w:u w:val="single"/>
                </w:rPr>
                <w:t>40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45">
              <w:r>
                <w:rPr>
                  <w:rStyle w:val="InternetLink"/>
                  <w:rFonts w:ascii="Times New Roman;sans-serif" w:hAnsi="Times New Roman;sans-serif"/>
                  <w:b w:val="false"/>
                  <w:color w:val="0000FF"/>
                  <w:sz w:val="20"/>
                  <w:u w:val="single"/>
                </w:rPr>
                <w:t>Item 5. Other Information</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45">
              <w:r>
                <w:rPr>
                  <w:rStyle w:val="InternetLink"/>
                  <w:rFonts w:ascii="Times New Roman;sans-serif" w:hAnsi="Times New Roman;sans-serif"/>
                  <w:b w:val="false"/>
                  <w:color w:val="0000FF"/>
                  <w:sz w:val="20"/>
                  <w:u w:val="single"/>
                </w:rPr>
                <w:t>40</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48">
              <w:r>
                <w:rPr>
                  <w:rStyle w:val="InternetLink"/>
                  <w:rFonts w:ascii="Times New Roman;sans-serif" w:hAnsi="Times New Roman;sans-serif"/>
                  <w:b w:val="false"/>
                  <w:color w:val="0000FF"/>
                  <w:sz w:val="20"/>
                  <w:u w:val="single"/>
                </w:rPr>
                <w:t>Item 6. Exhibits</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48">
              <w:r>
                <w:rPr>
                  <w:rStyle w:val="InternetLink"/>
                  <w:rFonts w:ascii="Times New Roman;sans-serif" w:hAnsi="Times New Roman;sans-serif"/>
                  <w:b w:val="false"/>
                  <w:color w:val="0000FF"/>
                  <w:sz w:val="20"/>
                  <w:u w:val="single"/>
                </w:rPr>
                <w:t>41</w:t>
              </w:r>
            </w:hyperlink>
          </w:p>
        </w:tc>
      </w:tr>
      <w:tr>
        <w:trPr/>
        <w:tc>
          <w:tcPr>
            <w:tcW w:w="797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979"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72f46630dd544a3ba34f0c225dd437a5_151">
              <w:r>
                <w:rPr>
                  <w:rStyle w:val="InternetLink"/>
                  <w:rFonts w:ascii="Times New Roman;sans-serif" w:hAnsi="Times New Roman;sans-serif"/>
                  <w:b w:val="false"/>
                  <w:color w:val="0000FF"/>
                  <w:sz w:val="20"/>
                  <w:u w:val="single"/>
                </w:rPr>
                <w:t>Signature</w:t>
              </w:r>
            </w:hyperlink>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0"/>
              <w:jc w:val="right"/>
              <w:rPr/>
            </w:pPr>
            <w:hyperlink w:anchor="i72f46630dd544a3ba34f0c225dd437a5_151">
              <w:r>
                <w:rPr>
                  <w:rStyle w:val="InternetLink"/>
                  <w:rFonts w:ascii="Times New Roman;sans-serif" w:hAnsi="Times New Roman;sans-serif"/>
                  <w:b w:val="false"/>
                  <w:color w:val="0000FF"/>
                  <w:sz w:val="20"/>
                  <w:u w:val="single"/>
                </w:rPr>
                <w:t>44</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EQUITY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 except unit information)</w:t>
      </w:r>
    </w:p>
    <w:tbl>
      <w:tblPr>
        <w:tblW w:w="10205" w:type="dxa"/>
        <w:jc w:val="center"/>
        <w:tblInd w:w="0" w:type="dxa"/>
        <w:tblCellMar>
          <w:top w:w="28" w:type="dxa"/>
          <w:left w:w="28" w:type="dxa"/>
          <w:bottom w:w="28" w:type="dxa"/>
          <w:right w:w="28" w:type="dxa"/>
        </w:tblCellMar>
      </w:tblPr>
      <w:tblGrid>
        <w:gridCol w:w="2815"/>
        <w:gridCol w:w="2410"/>
        <w:gridCol w:w="2405"/>
        <w:gridCol w:w="211"/>
        <w:gridCol w:w="766"/>
        <w:gridCol w:w="109"/>
        <w:gridCol w:w="109"/>
        <w:gridCol w:w="109"/>
        <w:gridCol w:w="109"/>
        <w:gridCol w:w="216"/>
        <w:gridCol w:w="785"/>
        <w:gridCol w:w="161"/>
      </w:tblGrid>
      <w:tr>
        <w:trPr/>
        <w:tc>
          <w:tcPr>
            <w:tcW w:w="2815" w:type="dxa"/>
            <w:tcBorders/>
            <w:shd w:fill="auto" w:val="clear"/>
            <w:vAlign w:val="center"/>
          </w:tcPr>
          <w:p>
            <w:pPr>
              <w:pStyle w:val="TableContents"/>
              <w:spacing w:before="0" w:after="283"/>
              <w:rPr>
                <w:sz w:val="4"/>
                <w:szCs w:val="4"/>
              </w:rPr>
            </w:pPr>
            <w:r>
              <w:rPr>
                <w:sz w:val="4"/>
                <w:szCs w:val="4"/>
              </w:rPr>
            </w:r>
          </w:p>
        </w:tc>
        <w:tc>
          <w:tcPr>
            <w:tcW w:w="2410" w:type="dxa"/>
            <w:tcBorders/>
            <w:shd w:fill="auto" w:val="clear"/>
            <w:vAlign w:val="center"/>
          </w:tcPr>
          <w:p>
            <w:pPr>
              <w:pStyle w:val="TableContents"/>
              <w:spacing w:before="0" w:after="283"/>
              <w:rPr>
                <w:sz w:val="4"/>
                <w:szCs w:val="4"/>
              </w:rPr>
            </w:pPr>
            <w:r>
              <w:rPr>
                <w:sz w:val="4"/>
                <w:szCs w:val="4"/>
              </w:rPr>
            </w:r>
          </w:p>
        </w:tc>
        <w:tc>
          <w:tcPr>
            <w:tcW w:w="2405"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76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(unaudited)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of $0.4 and $0.5</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at March 31, 2023 and December 31, 2022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from price risk management activities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653.8 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5,353.2 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4,530.4 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from price risk management activities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62" w:type="dxa"/>
            <w:gridSpan w:val="3"/>
            <w:tcBorders/>
            <w:shd w:fill="auto" w:val="cle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4,225.4 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Commitments and contingencies (</w:t>
            </w:r>
            <w:r>
              <w:rPr>
                <w:rFonts w:ascii="Times New Roman;sans-serif" w:hAnsi="Times New Roman;sans-serif"/>
                <w:b w:val="false"/>
                <w:i/>
                <w:color w:val="000000"/>
                <w:sz w:val="20"/>
              </w:rPr>
              <w:t>Note 9</w:t>
            </w:r>
            <w:r>
              <w:rPr>
                <w:rFonts w:ascii="Times New Roman;sans-serif" w:hAnsi="Times New Roman;sans-serif"/>
                <w:b w:val="false"/>
                <w:color w:val="000000"/>
                <w:sz w:val="20"/>
              </w:rPr>
              <w:t>)</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of non-controlling partner in subsidiary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Crestwood Equity Partners LP partners’ capital (105,286,780 and 104,646,374 common units issued and outstanding at March 31, 2023 and December 31, 2022)</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Preferred units (71,257,445 units issued and outstanding at both March 31, 2023 and December 31, 2022)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1945"/>
        <w:gridCol w:w="1516"/>
        <w:gridCol w:w="1516"/>
        <w:gridCol w:w="426"/>
        <w:gridCol w:w="426"/>
        <w:gridCol w:w="426"/>
        <w:gridCol w:w="426"/>
        <w:gridCol w:w="426"/>
        <w:gridCol w:w="444"/>
        <w:gridCol w:w="211"/>
        <w:gridCol w:w="766"/>
        <w:gridCol w:w="109"/>
        <w:gridCol w:w="109"/>
        <w:gridCol w:w="109"/>
        <w:gridCol w:w="109"/>
        <w:gridCol w:w="211"/>
        <w:gridCol w:w="766"/>
        <w:gridCol w:w="109"/>
        <w:gridCol w:w="155"/>
      </w:tblGrid>
      <w:tr>
        <w:trPr/>
        <w:tc>
          <w:tcPr>
            <w:tcW w:w="1945"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151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551" w:type="dxa"/>
            <w:gridSpan w:val="9"/>
            <w:tcBorders/>
            <w:shd w:fill="auto" w:val="clear"/>
            <w:tcMar>
              <w:top w:w="0" w:type="dxa"/>
              <w:left w:w="0" w:type="dxa"/>
              <w:bottom w:w="0" w:type="dxa"/>
              <w:right w:w="0" w:type="dxa"/>
            </w:tcMar>
            <w:vAlign w:val="center"/>
          </w:tcPr>
          <w:p>
            <w:pPr>
              <w:pStyle w:val="TableContents"/>
              <w:spacing w:before="0" w:after="0"/>
              <w:jc w:val="center"/>
              <w:rPr/>
            </w:pPr>
            <w:r>
              <w:rPr/>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CRESTWOOD EQUITY PARTNERS LP</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ableContents"/>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 except per unit data)</w:t>
            </w:r>
          </w:p>
          <w:p>
            <w:pPr>
              <w:pStyle w:val="TableContents"/>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ableContents"/>
              <w:spacing w:before="0" w:after="0"/>
              <w:jc w:val="center"/>
              <w:rPr/>
            </w:pPr>
            <w:r>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68" w:type="dxa"/>
            <w:gridSpan w:val="7"/>
            <w:tcBorders/>
            <w:shd w:fill="auto" w:val="clear"/>
          </w:tcPr>
          <w:p>
            <w:pPr>
              <w:pStyle w:val="TableContents"/>
              <w:spacing w:before="0" w:after="283"/>
              <w:rPr>
                <w:sz w:val="4"/>
                <w:szCs w:val="4"/>
              </w:rPr>
            </w:pPr>
            <w:r>
              <w:rPr>
                <w:sz w:val="4"/>
                <w:szCs w:val="4"/>
              </w:rPr>
            </w:r>
          </w:p>
        </w:tc>
      </w:tr>
      <w:tr>
        <w:trPr/>
        <w:tc>
          <w:tcPr>
            <w:tcW w:w="497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tcPr>
          <w:p>
            <w:pPr>
              <w:pStyle w:val="TableContents"/>
              <w:spacing w:before="0" w:after="283"/>
              <w:rPr>
                <w:sz w:val="4"/>
                <w:szCs w:val="4"/>
              </w:rPr>
            </w:pPr>
            <w:r>
              <w:rPr>
                <w:sz w:val="4"/>
                <w:szCs w:val="4"/>
              </w:rPr>
            </w:r>
          </w:p>
        </w:tc>
      </w:tr>
      <w:tr>
        <w:trPr/>
        <w:tc>
          <w:tcPr>
            <w:tcW w:w="49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8"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1" w:type="dxa"/>
            <w:gridSpan w:val="4"/>
            <w:tcBorders/>
            <w:shd w:fill="auto" w:val="clear"/>
          </w:tcPr>
          <w:p>
            <w:pPr>
              <w:pStyle w:val="TableContents"/>
              <w:spacing w:before="0" w:after="283"/>
              <w:rPr>
                <w:sz w:val="4"/>
                <w:szCs w:val="4"/>
              </w:rPr>
            </w:pPr>
            <w:r>
              <w:rPr>
                <w:sz w:val="4"/>
                <w:szCs w:val="4"/>
              </w:rPr>
            </w:r>
          </w:p>
        </w:tc>
      </w:tr>
      <w:tr>
        <w:trPr/>
        <w:tc>
          <w:tcPr>
            <w:tcW w:w="497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Product revenues - related party (</w:t>
            </w:r>
            <w:r>
              <w:rPr>
                <w:rFonts w:ascii="Times New Roman;sans-serif" w:hAnsi="Times New Roman;sans-serif"/>
                <w:b w:val="false"/>
                <w:i/>
                <w:color w:val="000000"/>
                <w:sz w:val="20"/>
              </w:rPr>
              <w:t>Note 15</w:t>
            </w:r>
            <w:r>
              <w:rPr>
                <w:rFonts w:ascii="Times New Roman;sans-serif" w:hAnsi="Times New Roman;sans-serif"/>
                <w:b w:val="false"/>
                <w:color w:val="000000"/>
                <w:sz w:val="20"/>
              </w:rPr>
              <w: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revenues </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Service revenues - related party (</w:t>
            </w:r>
            <w:r>
              <w:rPr>
                <w:rFonts w:ascii="Times New Roman;sans-serif" w:hAnsi="Times New Roman;sans-serif"/>
                <w:b w:val="false"/>
                <w:i/>
                <w:color w:val="000000"/>
                <w:sz w:val="20"/>
              </w:rPr>
              <w:t>Note 15</w:t>
            </w:r>
            <w:r>
              <w:rPr>
                <w:rFonts w:ascii="Times New Roman;sans-serif" w:hAnsi="Times New Roman;sans-serif"/>
                <w:b w:val="false"/>
                <w:color w:val="000000"/>
                <w:sz w:val="20"/>
              </w:rPr>
              <w: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product/services sold (exclusive of items shown separately below):</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Product costs - related party </w:t>
            </w:r>
            <w:r>
              <w:rPr>
                <w:rFonts w:ascii="Times New Roman;sans-serif" w:hAnsi="Times New Roman;sans-serif"/>
                <w:b w:val="false"/>
                <w:i/>
                <w:color w:val="000000"/>
                <w:sz w:val="20"/>
              </w:rPr>
              <w:t>(Note 15)</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products/services sold</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and other:</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long-lived assets, net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unconsolidated affiliates, net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debt expense, net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partner</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270"/>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Crestwood Equity Partners LP</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preferred units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ind w:left="0" w:right="0" w:hanging="270"/>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partners</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Net income (loss) per limited partner unit: (</w:t>
            </w:r>
            <w:r>
              <w:rPr>
                <w:rFonts w:ascii="Times New Roman;sans-serif" w:hAnsi="Times New Roman;sans-serif"/>
                <w:b w:val="false"/>
                <w:i/>
                <w:color w:val="000000"/>
                <w:sz w:val="20"/>
              </w:rPr>
              <w:t>Note 12</w:t>
            </w:r>
            <w:r>
              <w:rPr>
                <w:rFonts w:ascii="Times New Roman;sans-serif" w:hAnsi="Times New Roman;sans-serif"/>
                <w:b w:val="false"/>
                <w:color w:val="000000"/>
                <w:sz w:val="20"/>
              </w:rPr>
              <w:t>)</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doub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limited partners’ units outstanding:</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497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EQUITY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PARTNERS’ CAPITAL</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spacing w:before="0" w:after="0"/>
        <w:jc w:val="center"/>
        <w:rPr/>
      </w:pPr>
      <w:r>
        <w:rPr/>
      </w:r>
    </w:p>
    <w:tbl>
      <w:tblPr>
        <w:tblW w:w="10079" w:type="dxa"/>
        <w:jc w:val="center"/>
        <w:tblInd w:w="0" w:type="dxa"/>
        <w:tblCellMar>
          <w:top w:w="28" w:type="dxa"/>
          <w:left w:w="28" w:type="dxa"/>
          <w:bottom w:w="28" w:type="dxa"/>
          <w:right w:w="28" w:type="dxa"/>
        </w:tblCellMar>
      </w:tblPr>
      <w:tblGrid>
        <w:gridCol w:w="1450"/>
        <w:gridCol w:w="1273"/>
        <w:gridCol w:w="1281"/>
        <w:gridCol w:w="255"/>
        <w:gridCol w:w="256"/>
        <w:gridCol w:w="161"/>
        <w:gridCol w:w="109"/>
        <w:gridCol w:w="109"/>
        <w:gridCol w:w="109"/>
        <w:gridCol w:w="211"/>
        <w:gridCol w:w="616"/>
        <w:gridCol w:w="109"/>
        <w:gridCol w:w="109"/>
        <w:gridCol w:w="109"/>
        <w:gridCol w:w="109"/>
        <w:gridCol w:w="308"/>
        <w:gridCol w:w="308"/>
        <w:gridCol w:w="181"/>
        <w:gridCol w:w="109"/>
        <w:gridCol w:w="109"/>
        <w:gridCol w:w="109"/>
        <w:gridCol w:w="211"/>
        <w:gridCol w:w="766"/>
        <w:gridCol w:w="109"/>
        <w:gridCol w:w="109"/>
        <w:gridCol w:w="109"/>
        <w:gridCol w:w="109"/>
        <w:gridCol w:w="238"/>
        <w:gridCol w:w="864"/>
        <w:gridCol w:w="174"/>
      </w:tblGrid>
      <w:tr>
        <w:trPr/>
        <w:tc>
          <w:tcPr>
            <w:tcW w:w="1450"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0"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r>
              <w:rPr>
                <w:rFonts w:ascii="Times New Roman;sans-serif" w:hAnsi="Times New Roman;sans-serif"/>
                <w:b/>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w:t>
              <w:br/>
              <w:t>Capital</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1,907.2 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partners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 charges</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for unit-based compensation vesting</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105.3 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1,853.3 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before="0" w:after="0"/>
        <w:rPr/>
      </w:pPr>
      <w:r>
        <w:rPr/>
      </w:r>
    </w:p>
    <w:tbl>
      <w:tblPr>
        <w:tblW w:w="9954" w:type="dxa"/>
        <w:jc w:val="center"/>
        <w:tblInd w:w="0" w:type="dxa"/>
        <w:tblCellMar>
          <w:top w:w="28" w:type="dxa"/>
          <w:left w:w="28" w:type="dxa"/>
          <w:bottom w:w="28" w:type="dxa"/>
          <w:right w:w="28" w:type="dxa"/>
        </w:tblCellMar>
      </w:tblPr>
      <w:tblGrid>
        <w:gridCol w:w="1450"/>
        <w:gridCol w:w="1273"/>
        <w:gridCol w:w="1281"/>
        <w:gridCol w:w="255"/>
        <w:gridCol w:w="256"/>
        <w:gridCol w:w="161"/>
        <w:gridCol w:w="109"/>
        <w:gridCol w:w="109"/>
        <w:gridCol w:w="109"/>
        <w:gridCol w:w="211"/>
        <w:gridCol w:w="616"/>
        <w:gridCol w:w="109"/>
        <w:gridCol w:w="109"/>
        <w:gridCol w:w="109"/>
        <w:gridCol w:w="109"/>
        <w:gridCol w:w="255"/>
        <w:gridCol w:w="256"/>
        <w:gridCol w:w="161"/>
        <w:gridCol w:w="109"/>
        <w:gridCol w:w="109"/>
        <w:gridCol w:w="109"/>
        <w:gridCol w:w="211"/>
        <w:gridCol w:w="766"/>
        <w:gridCol w:w="109"/>
        <w:gridCol w:w="109"/>
        <w:gridCol w:w="109"/>
        <w:gridCol w:w="109"/>
        <w:gridCol w:w="238"/>
        <w:gridCol w:w="864"/>
        <w:gridCol w:w="174"/>
      </w:tblGrid>
      <w:tr>
        <w:trPr/>
        <w:tc>
          <w:tcPr>
            <w:tcW w:w="1450" w:type="dxa"/>
            <w:tcBorders/>
            <w:shd w:fill="auto" w:val="clear"/>
            <w:vAlign w:val="center"/>
          </w:tcPr>
          <w:p>
            <w:pPr>
              <w:pStyle w:val="TableContents"/>
              <w:spacing w:before="0" w:after="283"/>
              <w:rPr>
                <w:sz w:val="4"/>
                <w:szCs w:val="4"/>
              </w:rPr>
            </w:pPr>
            <w:r>
              <w:rPr>
                <w:sz w:val="4"/>
                <w:szCs w:val="4"/>
              </w:rPr>
            </w:r>
          </w:p>
        </w:tc>
        <w:tc>
          <w:tcPr>
            <w:tcW w:w="1273"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Preferred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8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Units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Capital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Partners’</w:t>
              <w:br/>
              <w:t>Capital</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partners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Issuance of common units </w:t>
            </w:r>
            <w:r>
              <w:rPr>
                <w:rFonts w:ascii="Times New Roman;sans-serif" w:hAnsi="Times New Roman;sans-serif"/>
                <w:b w:val="false"/>
                <w:i/>
                <w:color w:val="000000"/>
                <w:sz w:val="20"/>
              </w:rPr>
              <w:t>(Note 3)</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 charges</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for unit-based compensation vesting</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7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1,966.0 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7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2407"/>
        <w:gridCol w:w="2041"/>
        <w:gridCol w:w="2056"/>
        <w:gridCol w:w="379"/>
        <w:gridCol w:w="1018"/>
        <w:gridCol w:w="190"/>
        <w:gridCol w:w="190"/>
        <w:gridCol w:w="190"/>
        <w:gridCol w:w="190"/>
        <w:gridCol w:w="370"/>
        <w:gridCol w:w="897"/>
        <w:gridCol w:w="277"/>
      </w:tblGrid>
      <w:tr>
        <w:trPr/>
        <w:tc>
          <w:tcPr>
            <w:tcW w:w="2407"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2056"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18"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277" w:type="dxa"/>
            <w:tcBorders/>
            <w:shd w:fill="auto" w:val="clear"/>
            <w:vAlign w:val="center"/>
          </w:tcPr>
          <w:p>
            <w:pPr>
              <w:pStyle w:val="TableContents"/>
              <w:spacing w:before="0" w:after="283"/>
              <w:rPr>
                <w:sz w:val="4"/>
                <w:szCs w:val="4"/>
              </w:rPr>
            </w:pPr>
            <w:r>
              <w:rPr>
                <w:sz w:val="4"/>
                <w:szCs w:val="4"/>
              </w:rPr>
            </w:r>
          </w:p>
        </w:tc>
      </w:tr>
      <w:tr>
        <w:trPr/>
        <w:tc>
          <w:tcPr>
            <w:tcW w:w="10205" w:type="dxa"/>
            <w:gridSpan w:val="12"/>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CRESTWOOD EQUITY PARTNERS LP</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ableContents"/>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ableContents"/>
              <w:spacing w:lineRule="auto" w:line="240"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ableContents"/>
              <w:spacing w:before="0" w:after="0"/>
              <w:jc w:val="center"/>
              <w:rPr/>
            </w:pPr>
            <w:r>
              <w:rPr/>
            </w:r>
          </w:p>
        </w:tc>
      </w:tr>
      <w:tr>
        <w:trPr/>
        <w:tc>
          <w:tcPr>
            <w:tcW w:w="65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6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70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65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5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57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activities</w:t>
            </w:r>
          </w:p>
        </w:tc>
        <w:tc>
          <w:tcPr>
            <w:tcW w:w="15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79"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1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debt-related deferred costs and fair value adjustment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 charges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long-lived assets, net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Earnings from unconsolidated affiliates, net, adjusted for cash distributions received </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15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Acquisition, net of cash acquired (</w:t>
            </w:r>
            <w:r>
              <w:rPr>
                <w:rFonts w:ascii="Times New Roman;sans-serif" w:hAnsi="Times New Roman;sans-serif"/>
                <w:b w:val="false"/>
                <w:i/>
                <w:color w:val="000000"/>
                <w:sz w:val="20"/>
              </w:rPr>
              <w:t>Note 3</w:t>
            </w:r>
            <w:r>
              <w:rPr>
                <w:rFonts w:ascii="Times New Roman;sans-serif" w:hAnsi="Times New Roman;sans-serif"/>
                <w:b w:val="false"/>
                <w:color w:val="000000"/>
                <w:sz w:val="20"/>
              </w:rPr>
              <w:t>)</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distributions from unconsolidated affiliates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assets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3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15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long-term debt</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919.1 </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deferred financing costs</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partners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partner</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preferred unitholders</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for unit-based compensation vesting</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39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277"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change in cash </w:t>
            </w:r>
          </w:p>
        </w:tc>
        <w:tc>
          <w:tcPr>
            <w:tcW w:w="13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9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2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13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9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6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13.3 </w:t>
            </w:r>
          </w:p>
        </w:tc>
        <w:tc>
          <w:tcPr>
            <w:tcW w:w="2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schedule of noncash investing activities</w:t>
            </w:r>
          </w:p>
        </w:tc>
        <w:tc>
          <w:tcPr>
            <w:tcW w:w="1587"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change to property, plant and equipment through accounts payable and accrued expenses</w:t>
            </w:r>
          </w:p>
        </w:tc>
        <w:tc>
          <w:tcPr>
            <w:tcW w:w="379"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90"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7"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7"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r>
        <w:trPr/>
        <w:tc>
          <w:tcPr>
            <w:tcW w:w="6504" w:type="dxa"/>
            <w:gridSpan w:val="3"/>
            <w:tcBorders/>
            <w:shd w:fill="auto" w:val="clear"/>
            <w:vAlign w:val="center"/>
          </w:tcPr>
          <w:p>
            <w:pPr>
              <w:pStyle w:val="TableContents"/>
              <w:spacing w:before="0" w:after="283"/>
              <w:rPr>
                <w:sz w:val="4"/>
                <w:szCs w:val="4"/>
              </w:rPr>
            </w:pPr>
            <w:r>
              <w:rPr>
                <w:sz w:val="4"/>
                <w:szCs w:val="4"/>
              </w:rPr>
            </w:r>
          </w:p>
        </w:tc>
        <w:tc>
          <w:tcPr>
            <w:tcW w:w="1587" w:type="dxa"/>
            <w:gridSpan w:val="3"/>
            <w:tcBorders/>
            <w:shd w:fill="auto" w:val="clear"/>
            <w:vAlign w:val="center"/>
          </w:tcPr>
          <w:p>
            <w:pPr>
              <w:pStyle w:val="TableContents"/>
              <w:spacing w:before="0" w:after="283"/>
              <w:rPr>
                <w:sz w:val="4"/>
                <w:szCs w:val="4"/>
              </w:rPr>
            </w:pPr>
            <w:r>
              <w:rPr>
                <w:sz w:val="4"/>
                <w:szCs w:val="4"/>
              </w:rPr>
            </w:r>
          </w:p>
        </w:tc>
        <w:tc>
          <w:tcPr>
            <w:tcW w:w="570" w:type="dxa"/>
            <w:gridSpan w:val="3"/>
            <w:tcBorders/>
            <w:shd w:fill="auto" w:val="clear"/>
            <w:vAlign w:val="center"/>
          </w:tcPr>
          <w:p>
            <w:pPr>
              <w:pStyle w:val="TableContents"/>
              <w:spacing w:before="0" w:after="283"/>
              <w:rPr>
                <w:sz w:val="4"/>
                <w:szCs w:val="4"/>
              </w:rPr>
            </w:pPr>
            <w:r>
              <w:rPr>
                <w:sz w:val="4"/>
                <w:szCs w:val="4"/>
              </w:rPr>
            </w:r>
          </w:p>
        </w:tc>
        <w:tc>
          <w:tcPr>
            <w:tcW w:w="1544"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20" w:after="283"/>
        <w:jc w:val="center"/>
        <w:rPr/>
      </w:pPr>
      <w:r>
        <w:rPr/>
      </w:r>
    </w:p>
    <w:p>
      <w:pPr>
        <w:pStyle w:val="TextBody"/>
        <w:spacing w:lineRule="auto" w:line="288" w:before="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MIDSTREAM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tbl>
      <w:tblPr>
        <w:tblW w:w="8778" w:type="dxa"/>
        <w:jc w:val="center"/>
        <w:tblInd w:w="0" w:type="dxa"/>
        <w:tblCellMar>
          <w:top w:w="28" w:type="dxa"/>
          <w:left w:w="28" w:type="dxa"/>
          <w:bottom w:w="28" w:type="dxa"/>
          <w:right w:w="28" w:type="dxa"/>
        </w:tblCellMar>
      </w:tblPr>
      <w:tblGrid>
        <w:gridCol w:w="2226"/>
        <w:gridCol w:w="1965"/>
        <w:gridCol w:w="1989"/>
        <w:gridCol w:w="211"/>
        <w:gridCol w:w="766"/>
        <w:gridCol w:w="109"/>
        <w:gridCol w:w="109"/>
        <w:gridCol w:w="109"/>
        <w:gridCol w:w="109"/>
        <w:gridCol w:w="221"/>
        <w:gridCol w:w="803"/>
        <w:gridCol w:w="161"/>
      </w:tblGrid>
      <w:tr>
        <w:trPr/>
        <w:tc>
          <w:tcPr>
            <w:tcW w:w="2226" w:type="dxa"/>
            <w:tcBorders/>
            <w:shd w:fill="auto" w:val="clear"/>
            <w:vAlign w:val="center"/>
          </w:tcPr>
          <w:p>
            <w:pPr>
              <w:pStyle w:val="TableContents"/>
              <w:spacing w:before="0" w:after="283"/>
              <w:rPr>
                <w:sz w:val="4"/>
                <w:szCs w:val="4"/>
              </w:rPr>
            </w:pPr>
            <w:r>
              <w:rPr>
                <w:sz w:val="4"/>
                <w:szCs w:val="4"/>
              </w:rPr>
            </w:r>
          </w:p>
        </w:tc>
        <w:tc>
          <w:tcPr>
            <w:tcW w:w="1965" w:type="dxa"/>
            <w:tcBorders/>
            <w:shd w:fill="auto" w:val="clear"/>
            <w:vAlign w:val="center"/>
          </w:tcPr>
          <w:p>
            <w:pPr>
              <w:pStyle w:val="TableContents"/>
              <w:spacing w:before="0" w:after="283"/>
              <w:rPr>
                <w:sz w:val="4"/>
                <w:szCs w:val="4"/>
              </w:rPr>
            </w:pPr>
            <w:r>
              <w:rPr>
                <w:sz w:val="4"/>
                <w:szCs w:val="4"/>
              </w:rPr>
            </w:r>
          </w:p>
        </w:tc>
        <w:tc>
          <w:tcPr>
            <w:tcW w:w="198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618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i/>
                <w:color w:val="000000"/>
                <w:sz w:val="18"/>
              </w:rPr>
            </w:pPr>
            <w:r>
              <w:rPr>
                <w:rFonts w:ascii="Times New Roman;sans-serif" w:hAnsi="Times New Roman;sans-serif"/>
                <w:b/>
                <w:i/>
                <w:color w:val="000000"/>
                <w:sz w:val="18"/>
              </w:rPr>
              <w:t>(unaudited)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less allowance for doubtful accounts of $0.4 and $0.5</w:t>
            </w:r>
          </w:p>
          <w:p>
            <w:pPr>
              <w:pStyle w:val="TableContents"/>
              <w:spacing w:lineRule="auto" w:line="240" w:before="0" w:after="0"/>
              <w:jc w:val="left"/>
              <w:rPr>
                <w:color w:val="000000"/>
              </w:rPr>
            </w:pPr>
            <w:r>
              <w:rPr>
                <w:color w:val="000000"/>
              </w:rPr>
              <w:t>     </w:t>
            </w:r>
            <w:r>
              <w:rPr>
                <w:rFonts w:ascii="Times New Roman;sans-serif" w:hAnsi="Times New Roman;sans-serif"/>
                <w:b w:val="false"/>
                <w:color w:val="000000"/>
                <w:sz w:val="20"/>
              </w:rPr>
              <w:t>at March 31, 2023 and December 31, 2022</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from price risk management activities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5,399.3 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4,527.4 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amortization</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6,561.4 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from price risk management activities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4,219.7 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Commitments and contingencies (</w:t>
            </w:r>
            <w:r>
              <w:rPr>
                <w:rFonts w:ascii="Times New Roman;sans-serif" w:hAnsi="Times New Roman;sans-serif"/>
                <w:b w:val="false"/>
                <w:i/>
                <w:color w:val="000000"/>
                <w:sz w:val="20"/>
              </w:rPr>
              <w:t>Note 9</w:t>
            </w:r>
            <w:r>
              <w:rPr>
                <w:rFonts w:ascii="Times New Roman;sans-serif" w:hAnsi="Times New Roman;sans-serif"/>
                <w:b w:val="false"/>
                <w:color w:val="000000"/>
                <w:sz w:val="20"/>
              </w:rPr>
              <w:t>)</w:t>
            </w:r>
          </w:p>
        </w:tc>
        <w:tc>
          <w:tcPr>
            <w:tcW w:w="10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of non-controlling partner in subsidiary</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61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6,561.4 </w:t>
            </w:r>
          </w:p>
        </w:tc>
        <w:tc>
          <w:tcPr>
            <w:tcW w:w="1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MIDSTREAM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OPERATIONS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9651" w:type="dxa"/>
        <w:jc w:val="center"/>
        <w:tblInd w:w="0" w:type="dxa"/>
        <w:tblCellMar>
          <w:top w:w="28" w:type="dxa"/>
          <w:left w:w="28" w:type="dxa"/>
          <w:bottom w:w="28" w:type="dxa"/>
          <w:right w:w="28" w:type="dxa"/>
        </w:tblCellMar>
      </w:tblPr>
      <w:tblGrid>
        <w:gridCol w:w="2251"/>
        <w:gridCol w:w="1980"/>
        <w:gridCol w:w="1993"/>
        <w:gridCol w:w="109"/>
        <w:gridCol w:w="109"/>
        <w:gridCol w:w="125"/>
        <w:gridCol w:w="125"/>
        <w:gridCol w:w="125"/>
        <w:gridCol w:w="125"/>
        <w:gridCol w:w="243"/>
        <w:gridCol w:w="883"/>
        <w:gridCol w:w="125"/>
        <w:gridCol w:w="109"/>
        <w:gridCol w:w="109"/>
        <w:gridCol w:w="109"/>
        <w:gridCol w:w="211"/>
        <w:gridCol w:w="766"/>
        <w:gridCol w:w="154"/>
      </w:tblGrid>
      <w:tr>
        <w:trPr/>
        <w:tc>
          <w:tcPr>
            <w:tcW w:w="2251" w:type="dxa"/>
            <w:tcBorders/>
            <w:shd w:fill="auto" w:val="clear"/>
            <w:vAlign w:val="center"/>
          </w:tcPr>
          <w:p>
            <w:pPr>
              <w:pStyle w:val="TableContents"/>
              <w:spacing w:before="0" w:after="283"/>
              <w:rPr>
                <w:sz w:val="4"/>
                <w:szCs w:val="4"/>
              </w:rPr>
            </w:pPr>
            <w:r>
              <w:rPr>
                <w:sz w:val="4"/>
                <w:szCs w:val="4"/>
              </w:rPr>
            </w:r>
          </w:p>
        </w:tc>
        <w:tc>
          <w:tcPr>
            <w:tcW w:w="1980" w:type="dxa"/>
            <w:tcBorders/>
            <w:shd w:fill="auto" w:val="clear"/>
            <w:vAlign w:val="center"/>
          </w:tcPr>
          <w:p>
            <w:pPr>
              <w:pStyle w:val="TableContents"/>
              <w:spacing w:before="0" w:after="283"/>
              <w:rPr>
                <w:sz w:val="4"/>
                <w:szCs w:val="4"/>
              </w:rPr>
            </w:pPr>
            <w:r>
              <w:rPr>
                <w:sz w:val="4"/>
                <w:szCs w:val="4"/>
              </w:rPr>
            </w:r>
          </w:p>
        </w:tc>
        <w:tc>
          <w:tcPr>
            <w:tcW w:w="199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243" w:type="dxa"/>
            <w:tcBorders/>
            <w:shd w:fill="auto" w:val="clear"/>
            <w:vAlign w:val="center"/>
          </w:tcPr>
          <w:p>
            <w:pPr>
              <w:pStyle w:val="TableContents"/>
              <w:spacing w:before="0" w:after="283"/>
              <w:rPr>
                <w:sz w:val="4"/>
                <w:szCs w:val="4"/>
              </w:rPr>
            </w:pPr>
            <w:r>
              <w:rPr>
                <w:sz w:val="4"/>
                <w:szCs w:val="4"/>
              </w:rPr>
            </w:r>
          </w:p>
        </w:tc>
        <w:tc>
          <w:tcPr>
            <w:tcW w:w="883"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458" w:type="dxa"/>
            <w:gridSpan w:val="6"/>
            <w:tcBorders/>
            <w:shd w:fill="auto" w:val="clea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1"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458" w:type="dxa"/>
            <w:gridSpan w:val="6"/>
            <w:tcBorders/>
            <w:shd w:fill="auto" w:val="clear"/>
          </w:tcPr>
          <w:p>
            <w:pPr>
              <w:pStyle w:val="TableContents"/>
              <w:spacing w:before="0" w:after="283"/>
              <w:rPr>
                <w:sz w:val="4"/>
                <w:szCs w:val="4"/>
              </w:rPr>
            </w:pPr>
            <w:r>
              <w:rPr>
                <w:sz w:val="4"/>
                <w:szCs w:val="4"/>
              </w:rPr>
            </w:r>
          </w:p>
        </w:tc>
      </w:tr>
      <w:tr>
        <w:trPr/>
        <w:tc>
          <w:tcPr>
            <w:tcW w:w="62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1,122.3 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1,390.5 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Product revenues - related party (</w:t>
            </w:r>
            <w:r>
              <w:rPr>
                <w:rFonts w:ascii="Times New Roman;sans-serif" w:hAnsi="Times New Roman;sans-serif"/>
                <w:b w:val="false"/>
                <w:i/>
                <w:color w:val="000000"/>
                <w:sz w:val="20"/>
              </w:rPr>
              <w:t>Note 15</w:t>
            </w: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Service revenues - related party (</w:t>
            </w:r>
            <w:r>
              <w:rPr>
                <w:rFonts w:ascii="Times New Roman;sans-serif" w:hAnsi="Times New Roman;sans-serif"/>
                <w:b w:val="false"/>
                <w:i/>
                <w:color w:val="000000"/>
                <w:sz w:val="20"/>
              </w:rPr>
              <w:t>Note 15</w:t>
            </w:r>
            <w:r>
              <w:rPr>
                <w:rFonts w:ascii="Times New Roman;sans-serif" w:hAnsi="Times New Roman;sans-serif"/>
                <w:b w:val="false"/>
                <w:color w:val="000000"/>
                <w:sz w:val="20"/>
              </w:rPr>
              <w: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Costs of product/services sold (exclusive of items shown separately below):</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Product costs - related party </w:t>
            </w:r>
            <w:r>
              <w:rPr>
                <w:rFonts w:ascii="Times New Roman;sans-serif" w:hAnsi="Times New Roman;sans-serif"/>
                <w:b w:val="false"/>
                <w:i/>
                <w:color w:val="000000"/>
                <w:sz w:val="20"/>
              </w:rPr>
              <w:t>(Note 15)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of product/services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 and other: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Operations and maintenance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long-lived assets,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unconsolidated affiliates,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debt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partner</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Crestwood Midstream Partners LP</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r>
        <w:trPr/>
        <w:tc>
          <w:tcPr>
            <w:tcW w:w="622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5" w:type="dxa"/>
            <w:tcBorders/>
            <w:shd w:fill="auto" w:val="clear"/>
            <w:vAlign w:val="center"/>
          </w:tcPr>
          <w:p>
            <w:pPr>
              <w:pStyle w:val="TableContents"/>
              <w:spacing w:before="0" w:after="283"/>
              <w:rPr>
                <w:sz w:val="4"/>
                <w:szCs w:val="4"/>
              </w:rPr>
            </w:pPr>
            <w:r>
              <w:rPr>
                <w:sz w:val="4"/>
                <w:szCs w:val="4"/>
              </w:rPr>
            </w:r>
          </w:p>
        </w:tc>
        <w:tc>
          <w:tcPr>
            <w:tcW w:w="375" w:type="dxa"/>
            <w:gridSpan w:val="3"/>
            <w:tcBorders/>
            <w:shd w:fill="auto" w:val="clear"/>
            <w:vAlign w:val="center"/>
          </w:tcPr>
          <w:p>
            <w:pPr>
              <w:pStyle w:val="TableContents"/>
              <w:spacing w:before="0" w:after="283"/>
              <w:rPr>
                <w:sz w:val="4"/>
                <w:szCs w:val="4"/>
              </w:rPr>
            </w:pPr>
            <w:r>
              <w:rPr>
                <w:sz w:val="4"/>
                <w:szCs w:val="4"/>
              </w:rPr>
            </w:r>
          </w:p>
        </w:tc>
        <w:tc>
          <w:tcPr>
            <w:tcW w:w="12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80" w:after="283"/>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MIDSTREAM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PARTNERS’ CAPITAL</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6484" w:type="dxa"/>
        <w:jc w:val="center"/>
        <w:tblInd w:w="0" w:type="dxa"/>
        <w:tblCellMar>
          <w:top w:w="28" w:type="dxa"/>
          <w:left w:w="28" w:type="dxa"/>
          <w:bottom w:w="28" w:type="dxa"/>
          <w:right w:w="28" w:type="dxa"/>
        </w:tblCellMar>
      </w:tblPr>
      <w:tblGrid>
        <w:gridCol w:w="1451"/>
        <w:gridCol w:w="1274"/>
        <w:gridCol w:w="1279"/>
        <w:gridCol w:w="109"/>
        <w:gridCol w:w="109"/>
        <w:gridCol w:w="109"/>
        <w:gridCol w:w="109"/>
        <w:gridCol w:w="109"/>
        <w:gridCol w:w="360"/>
        <w:gridCol w:w="1310"/>
        <w:gridCol w:w="265"/>
      </w:tblGrid>
      <w:tr>
        <w:trPr/>
        <w:tc>
          <w:tcPr>
            <w:tcW w:w="1451"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Partners’ Capital</w:t>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1,907.3 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partners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for unit-based compensation vesting</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1,851.2 </w:t>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4"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tbl>
      <w:tblPr>
        <w:tblW w:w="6485" w:type="dxa"/>
        <w:jc w:val="center"/>
        <w:tblInd w:w="0" w:type="dxa"/>
        <w:tblCellMar>
          <w:top w:w="28" w:type="dxa"/>
          <w:left w:w="28" w:type="dxa"/>
          <w:bottom w:w="28" w:type="dxa"/>
          <w:right w:w="28" w:type="dxa"/>
        </w:tblCellMar>
      </w:tblPr>
      <w:tblGrid>
        <w:gridCol w:w="1450"/>
        <w:gridCol w:w="1274"/>
        <w:gridCol w:w="1281"/>
        <w:gridCol w:w="109"/>
        <w:gridCol w:w="109"/>
        <w:gridCol w:w="109"/>
        <w:gridCol w:w="109"/>
        <w:gridCol w:w="109"/>
        <w:gridCol w:w="360"/>
        <w:gridCol w:w="1310"/>
        <w:gridCol w:w="265"/>
      </w:tblGrid>
      <w:tr>
        <w:trPr/>
        <w:tc>
          <w:tcPr>
            <w:tcW w:w="1450" w:type="dxa"/>
            <w:tcBorders/>
            <w:shd w:fill="auto" w:val="clear"/>
            <w:vAlign w:val="center"/>
          </w:tcPr>
          <w:p>
            <w:pPr>
              <w:pStyle w:val="TableContents"/>
              <w:spacing w:before="0" w:after="283"/>
              <w:rPr>
                <w:sz w:val="4"/>
                <w:szCs w:val="4"/>
              </w:rPr>
            </w:pPr>
            <w:r>
              <w:rPr>
                <w:sz w:val="4"/>
                <w:szCs w:val="4"/>
              </w:rPr>
            </w:r>
          </w:p>
        </w:tc>
        <w:tc>
          <w:tcPr>
            <w:tcW w:w="1274" w:type="dxa"/>
            <w:tcBorders/>
            <w:shd w:fill="auto" w:val="clear"/>
            <w:vAlign w:val="center"/>
          </w:tcPr>
          <w:p>
            <w:pPr>
              <w:pStyle w:val="TableContents"/>
              <w:spacing w:before="0" w:after="283"/>
              <w:rPr>
                <w:sz w:val="4"/>
                <w:szCs w:val="4"/>
              </w:rPr>
            </w:pPr>
            <w:r>
              <w:rPr>
                <w:sz w:val="4"/>
                <w:szCs w:val="4"/>
              </w:rPr>
            </w:r>
          </w:p>
        </w:tc>
        <w:tc>
          <w:tcPr>
            <w:tcW w:w="1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1310"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Partners’ Capital</w:t>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1,232.3 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Non-cash contribution from partner </w:t>
            </w:r>
            <w:r>
              <w:rPr>
                <w:rFonts w:ascii="Times New Roman;sans-serif" w:hAnsi="Times New Roman;sans-serif"/>
                <w:b w:val="false"/>
                <w:i/>
                <w:color w:val="000000"/>
                <w:sz w:val="20"/>
              </w:rPr>
              <w:t>(Note 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1,075.1 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Cash contribution from partner </w:t>
            </w:r>
            <w:r>
              <w:rPr>
                <w:rFonts w:ascii="Times New Roman;sans-serif" w:hAnsi="Times New Roman;sans-serif"/>
                <w:b w:val="false"/>
                <w:i/>
                <w:color w:val="000000"/>
                <w:sz w:val="20"/>
              </w:rPr>
              <w:t>(Note 11)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partners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 charges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for unit-based compensation vesting</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2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2,092.4 </w:t>
            </w:r>
          </w:p>
        </w:tc>
        <w:tc>
          <w:tcPr>
            <w:tcW w:w="2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r>
        <w:trPr/>
        <w:tc>
          <w:tcPr>
            <w:tcW w:w="40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3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40" w:after="283"/>
        <w:jc w:val="center"/>
        <w:rPr/>
      </w:pPr>
      <w:r>
        <w:rPr/>
      </w:r>
    </w:p>
    <w:p>
      <w:pPr>
        <w:pStyle w:val="TextBody"/>
        <w:spacing w:lineRule="auto" w:line="288" w:before="4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jc w:val="center"/>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MIDSTREAM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CASH FLOWS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tbl>
      <w:tblPr>
        <w:tblW w:w="9846" w:type="dxa"/>
        <w:jc w:val="center"/>
        <w:tblInd w:w="0" w:type="dxa"/>
        <w:tblCellMar>
          <w:top w:w="28" w:type="dxa"/>
          <w:left w:w="28" w:type="dxa"/>
          <w:bottom w:w="28" w:type="dxa"/>
          <w:right w:w="28" w:type="dxa"/>
        </w:tblCellMar>
      </w:tblPr>
      <w:tblGrid>
        <w:gridCol w:w="2787"/>
        <w:gridCol w:w="2445"/>
        <w:gridCol w:w="2462"/>
        <w:gridCol w:w="222"/>
        <w:gridCol w:w="618"/>
        <w:gridCol w:w="109"/>
        <w:gridCol w:w="109"/>
        <w:gridCol w:w="109"/>
        <w:gridCol w:w="109"/>
        <w:gridCol w:w="211"/>
        <w:gridCol w:w="511"/>
        <w:gridCol w:w="154"/>
      </w:tblGrid>
      <w:tr>
        <w:trPr/>
        <w:tc>
          <w:tcPr>
            <w:tcW w:w="2787" w:type="dxa"/>
            <w:tcBorders/>
            <w:shd w:fill="auto" w:val="clear"/>
            <w:vAlign w:val="center"/>
          </w:tcPr>
          <w:p>
            <w:pPr>
              <w:pStyle w:val="TableContents"/>
              <w:spacing w:before="0" w:after="283"/>
              <w:rPr>
                <w:sz w:val="4"/>
                <w:szCs w:val="4"/>
              </w:rPr>
            </w:pPr>
            <w:r>
              <w:rPr>
                <w:sz w:val="4"/>
                <w:szCs w:val="4"/>
              </w:rPr>
            </w:r>
          </w:p>
        </w:tc>
        <w:tc>
          <w:tcPr>
            <w:tcW w:w="2445" w:type="dxa"/>
            <w:tcBorders/>
            <w:shd w:fill="auto" w:val="clear"/>
            <w:vAlign w:val="center"/>
          </w:tcPr>
          <w:p>
            <w:pPr>
              <w:pStyle w:val="TableContents"/>
              <w:spacing w:before="0" w:after="283"/>
              <w:rPr>
                <w:sz w:val="4"/>
                <w:szCs w:val="4"/>
              </w:rPr>
            </w:pPr>
            <w:r>
              <w:rPr>
                <w:sz w:val="4"/>
                <w:szCs w:val="4"/>
              </w:rPr>
            </w:r>
          </w:p>
        </w:tc>
        <w:tc>
          <w:tcPr>
            <w:tcW w:w="246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15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769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 xml:space="preserve">Operating activities </w:t>
            </w:r>
          </w:p>
        </w:tc>
        <w:tc>
          <w:tcPr>
            <w:tcW w:w="94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2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4"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operating activities: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debt-related deferred costs and fair value adjustment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 charges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long-lived assets, net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from unconsolidated affiliates, net, adjusted for cash distributions received</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operating assets and liabilities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Investing activities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unconsolidated affiliates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distributions from unconsolidated affiliates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sale of assets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Financing activities</w:t>
            </w:r>
          </w:p>
        </w:tc>
        <w:tc>
          <w:tcPr>
            <w:tcW w:w="94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the issuance of long-term debt</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919.1 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long-term debt</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(1,209.2)</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finance leases</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for deferred financing costs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partner</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partners</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(238.1)</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partner</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paid for unit-based compensation vesting</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840"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change in cash </w:t>
            </w:r>
          </w:p>
        </w:tc>
        <w:tc>
          <w:tcPr>
            <w:tcW w:w="84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beginning of period</w:t>
            </w:r>
          </w:p>
        </w:tc>
        <w:tc>
          <w:tcPr>
            <w:tcW w:w="84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at end of period</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schedule of non-cash investing activities</w:t>
            </w:r>
          </w:p>
        </w:tc>
        <w:tc>
          <w:tcPr>
            <w:tcW w:w="949"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to property, plant and equipment through accounts payable and accrued expenses</w:t>
            </w:r>
          </w:p>
        </w:tc>
        <w:tc>
          <w:tcPr>
            <w:tcW w:w="222"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8"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94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See accompanying notes.</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CRESTWOOD EQUITY PARTNERS LP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CRESTWOOD MIDSTREAM PARTNERS LP</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 – Organization and Business Description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accompanying notes to the consolidated financial statements apply to Crestwood Equity Partners LP (Crestwood Equity or CEQP) and Crestwood Midstream Partners LP (Crestwood Midstream or CMLP) unless otherwise indicated.</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and related notes should be read in conjunction with our 2022 Annual Report on Form 10-K filed with the Securities and Exchange Commission (SEC) on February 27, 2023. The financial information as of March 31, 2023 and for the three months ended March 31, 2023 and 2022, is unaudited. The consolidated balance sheets as of December 31, 2022 were derived from the audited balance sheets filed in our 2022 Annual Report on Form 10-K.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references in this report to “we,” “us,” “our,” “ours,” “our company,” the “Partnership,” the “Company,” “Crestwood Equity,” “CEQP,” and similar terms refer to either Crestwood Equity Partners LP itself or Crestwood Equity Partners LP and its consolidated subsidiaries, as the context requires. Unless otherwise indicated, references to “Crestwood Midstream” and “CMLP” refer to Crestwood Midstream Partners LP and its consolidated subsidiaries, as the context requires.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Organization</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Crestwood Equity Partners LP</w:t>
      </w:r>
      <w:r>
        <w:rPr>
          <w:rFonts w:ascii="Times New Roman;sans-serif" w:hAnsi="Times New Roman;sans-serif"/>
          <w:b w:val="false"/>
          <w:color w:val="000000"/>
          <w:sz w:val="20"/>
        </w:rPr>
        <w:t xml:space="preserve">. CEQP is a publicly-traded (NYSE: CEQP) Delaware limited partnership formed in March 2001. Crestwood Equity GP LLC, our wholly-owned subsidiary, owns our non-economic general partnership interest. </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Crestwood Midstream Partners LP</w:t>
      </w:r>
      <w:r>
        <w:rPr>
          <w:rFonts w:ascii="Times New Roman;sans-serif" w:hAnsi="Times New Roman;sans-serif"/>
          <w:b w:val="false"/>
          <w:color w:val="000000"/>
          <w:sz w:val="20"/>
        </w:rPr>
        <w:t xml:space="preserve">. Crestwood Equity owns a 99.9% limited partnership interest in Crestwood Midstream and Crestwood Gas Services GP LLC, a wholly-owned subsidiary of Crestwood Equity, owns a 0.1% limited partnership interest in Crestwood Midstream. Crestwood Midstream GP LLC, a wholly-owned subsidiary of Crestwood Equity, owns the non-economic general partnership interest of Crestwood Midstream.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Business Description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Crestwood Equity develops, acquires, owns or controls, and operates primarily fee-based assets and operations within the energy midstream sector. We provide broad-ranging infrastructure solutions across the value chain to service premier liquids-rich natural gas and crude oil shale plays across North America. We own and operate a diversified portfolio of natural gas liquids (NGLs), crude oil, natural gas and produced water gathering, processing, storage, disposal and transportation assets that connect fundamental energy supply with energy demand across the United States. Crestwood Equity is a holding company and all of its consolidated operating assets are owned by or through its wholly-owned subsidiary, Crestwood Midstream.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See Note 13 for information regarding our operating and reporting segments.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2 – Basis of Presentation and Summary of Significant Accounting Policies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consolidated financial statements are prepared in accordance with Generally Accepted Accounting Principles in the United States (U.S. GAAP) and include the accounts of all consolidated subsidiaries after the elimination of all intercompany accounts and transactions. In management’s opinion, all necessary adjustments to fairly present our results of operations, financial position and cash flows for the periods presented have been made and all such adjustments are of a normal and recurring nature. Certain information and footnote disclosures normally included in annual consolidated financial statements prepared in accordance with U.S. GAAP have been omitted pursuant to the rules and regulations of the SEC.</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Significant Accounting Policies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in our significant accounting policies from those described in our 2022 Annual Report on Form 10-K.</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3 – Acquisition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 2022, we completed the merger with Oasis Midstream Partners LP (Oasis Midstream), in an equity and cash transaction which was valued at approximately $1.8 billion (the Oasis Merger). Pursuant to the merger agreement, Oasis Petroleum Inc., now known as Chord Energy Corporation (Chord), received $150 million in cash plus approximately 20.9 million newly issued CEQP common units in exchange for its 33.8 million common units held in Oasis Midstream. In addition, Oasis Midstream’s public unitholders received approximately 12.9 million newly issued CEQP common units in exchange for the approximately 14.8 million Oasis Midstream common units held by them. Additionally, under the merger agreement, Chord received a $10 million cash payment in exchange for its ownership of the general partner of Oasis Midstream.</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4 – Certain Balance Sheet Information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Accrued Expenses and Other Liabilities</w:t>
      </w:r>
    </w:p>
    <w:p>
      <w:pPr>
        <w:pStyle w:val="TextBody"/>
        <w:spacing w:before="0" w:after="0"/>
        <w:rPr/>
      </w:pPr>
      <w:r>
        <w:rPr/>
      </w:r>
    </w:p>
    <w:p>
      <w:pPr>
        <w:pStyle w:val="TextBody"/>
        <w:spacing w:lineRule="auto" w:line="288" w:before="0" w:after="60"/>
        <w:rPr/>
      </w:pPr>
      <w:r>
        <w:rPr>
          <w:rFonts w:ascii="Times New Roman;sans-serif" w:hAnsi="Times New Roman;sans-serif"/>
          <w:b w:val="false"/>
          <w:color w:val="000000"/>
          <w:sz w:val="20"/>
        </w:rPr>
        <w:t>Accrued expenses and other liabilities consisted of the following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7170" w:type="dxa"/>
        <w:jc w:val="left"/>
        <w:tblInd w:w="0" w:type="dxa"/>
        <w:tblCellMar>
          <w:top w:w="28" w:type="dxa"/>
          <w:left w:w="28" w:type="dxa"/>
          <w:bottom w:w="28" w:type="dxa"/>
          <w:right w:w="28" w:type="dxa"/>
        </w:tblCellMar>
      </w:tblPr>
      <w:tblGrid>
        <w:gridCol w:w="1590"/>
        <w:gridCol w:w="1397"/>
        <w:gridCol w:w="1408"/>
        <w:gridCol w:w="109"/>
        <w:gridCol w:w="109"/>
        <w:gridCol w:w="109"/>
        <w:gridCol w:w="211"/>
        <w:gridCol w:w="616"/>
        <w:gridCol w:w="109"/>
        <w:gridCol w:w="109"/>
        <w:gridCol w:w="109"/>
        <w:gridCol w:w="109"/>
        <w:gridCol w:w="255"/>
        <w:gridCol w:w="744"/>
        <w:gridCol w:w="186"/>
      </w:tblGrid>
      <w:tr>
        <w:trPr/>
        <w:tc>
          <w:tcPr>
            <w:tcW w:w="1590"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43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CMLP</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66.5 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property taxes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payable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additions to property, plant and equipment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CMLP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CEQP</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CEQP accrued expenses and other liabilities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180.8 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Other Long-Term Liabilities </w:t>
      </w:r>
    </w:p>
    <w:p>
      <w:pPr>
        <w:pStyle w:val="TextBody"/>
        <w:spacing w:before="0" w:after="0"/>
        <w:rPr/>
      </w:pPr>
      <w:r>
        <w:rPr/>
      </w:r>
    </w:p>
    <w:p>
      <w:pPr>
        <w:pStyle w:val="TextBody"/>
        <w:spacing w:lineRule="auto" w:line="288" w:before="0" w:after="60"/>
        <w:rPr/>
      </w:pPr>
      <w:r>
        <w:rPr>
          <w:rFonts w:ascii="Times New Roman;sans-serif" w:hAnsi="Times New Roman;sans-serif"/>
          <w:b w:val="false"/>
          <w:color w:val="000000"/>
          <w:sz w:val="20"/>
        </w:rPr>
        <w:t>Other long-term liabilities consisted of the following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5868" w:type="dxa"/>
        <w:jc w:val="center"/>
        <w:tblInd w:w="0" w:type="dxa"/>
        <w:tblCellMar>
          <w:top w:w="28" w:type="dxa"/>
          <w:left w:w="28" w:type="dxa"/>
          <w:bottom w:w="28" w:type="dxa"/>
          <w:right w:w="28" w:type="dxa"/>
        </w:tblCellMar>
      </w:tblPr>
      <w:tblGrid>
        <w:gridCol w:w="1238"/>
        <w:gridCol w:w="1086"/>
        <w:gridCol w:w="1096"/>
        <w:gridCol w:w="211"/>
        <w:gridCol w:w="616"/>
        <w:gridCol w:w="109"/>
        <w:gridCol w:w="109"/>
        <w:gridCol w:w="109"/>
        <w:gridCol w:w="109"/>
        <w:gridCol w:w="255"/>
        <w:gridCol w:w="744"/>
        <w:gridCol w:w="186"/>
      </w:tblGrid>
      <w:tr>
        <w:trPr/>
        <w:tc>
          <w:tcPr>
            <w:tcW w:w="1238" w:type="dxa"/>
            <w:tcBorders/>
            <w:shd w:fill="auto" w:val="clear"/>
            <w:vAlign w:val="center"/>
          </w:tcPr>
          <w:p>
            <w:pPr>
              <w:pStyle w:val="TableContents"/>
              <w:spacing w:before="0" w:after="283"/>
              <w:rPr>
                <w:sz w:val="4"/>
                <w:szCs w:val="4"/>
              </w:rPr>
            </w:pPr>
            <w:r>
              <w:rPr>
                <w:sz w:val="4"/>
                <w:szCs w:val="4"/>
              </w:rPr>
            </w:r>
          </w:p>
        </w:tc>
        <w:tc>
          <w:tcPr>
            <w:tcW w:w="1086"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r>
          </w:p>
        </w:tc>
      </w:tr>
      <w:tr>
        <w:trPr/>
        <w:tc>
          <w:tcPr>
            <w:tcW w:w="342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CMLP</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liabilities, net</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 retirement obligations</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leases</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w:t>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1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CMLP other long-term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330.3 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CEQP</w:t>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CEQP other long-term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333.4 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5 - Investments in Unconsolidated Affiliates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Net Investments and Earnings (Loss) of Unconsolidated Affiliates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net investments in and earnings (loss) from our unconsolidated affiliates are as follows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10113" w:type="dxa"/>
        <w:jc w:val="center"/>
        <w:tblInd w:w="0" w:type="dxa"/>
        <w:tblCellMar>
          <w:top w:w="28" w:type="dxa"/>
          <w:left w:w="28" w:type="dxa"/>
          <w:bottom w:w="28" w:type="dxa"/>
          <w:right w:w="28" w:type="dxa"/>
        </w:tblCellMar>
      </w:tblPr>
      <w:tblGrid>
        <w:gridCol w:w="1440"/>
        <w:gridCol w:w="1264"/>
        <w:gridCol w:w="1271"/>
        <w:gridCol w:w="109"/>
        <w:gridCol w:w="109"/>
        <w:gridCol w:w="211"/>
        <w:gridCol w:w="616"/>
        <w:gridCol w:w="109"/>
        <w:gridCol w:w="109"/>
        <w:gridCol w:w="109"/>
        <w:gridCol w:w="109"/>
        <w:gridCol w:w="247"/>
        <w:gridCol w:w="721"/>
        <w:gridCol w:w="127"/>
        <w:gridCol w:w="109"/>
        <w:gridCol w:w="109"/>
        <w:gridCol w:w="109"/>
        <w:gridCol w:w="109"/>
        <w:gridCol w:w="109"/>
        <w:gridCol w:w="221"/>
        <w:gridCol w:w="221"/>
        <w:gridCol w:w="428"/>
        <w:gridCol w:w="824"/>
        <w:gridCol w:w="225"/>
        <w:gridCol w:w="109"/>
        <w:gridCol w:w="109"/>
        <w:gridCol w:w="109"/>
        <w:gridCol w:w="211"/>
        <w:gridCol w:w="406"/>
        <w:gridCol w:w="154"/>
      </w:tblGrid>
      <w:tr>
        <w:trPr/>
        <w:tc>
          <w:tcPr>
            <w:tcW w:w="1440"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7"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c>
          <w:tcPr>
            <w:tcW w:w="824"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8"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Investment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9" w:type="dxa"/>
            <w:gridSpan w:val="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Earnings (Loss) from </w:t>
              <w:br/>
              <w:t>Unconsolidated Affiliates</w:t>
            </w:r>
          </w:p>
        </w:tc>
        <w:tc>
          <w:tcPr>
            <w:tcW w:w="1098" w:type="dxa"/>
            <w:gridSpan w:val="6"/>
            <w:tcBorders/>
            <w:shd w:fill="auto" w:val="clea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9" w:type="dxa"/>
            <w:gridSpan w:val="5"/>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8" w:type="dxa"/>
            <w:gridSpan w:val="6"/>
            <w:tcBorders/>
            <w:shd w:fill="auto" w:val="clea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19"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8" w:type="dxa"/>
            <w:gridSpan w:val="6"/>
            <w:tcBorders/>
            <w:shd w:fill="auto" w:val="clea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47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77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Crestwood Permian Basin LLC</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Tres Palacios Holdings LLC</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Powder River Basin Industrial Complex, LLC</w:t>
            </w:r>
            <w:r>
              <w:rPr>
                <w:rFonts w:ascii="Times New Roman;sans-serif" w:hAnsi="Times New Roman;sans-serif"/>
                <w:b w:val="false"/>
                <w:color w:val="000000"/>
                <w:sz w:val="13"/>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3.2 </w:t>
            </w:r>
          </w:p>
        </w:tc>
        <w:tc>
          <w:tcPr>
            <w:tcW w:w="1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Crestwood Permian Basin Holdings LLC</w:t>
            </w:r>
            <w:r>
              <w:rPr>
                <w:rFonts w:ascii="Times New Roman;sans-serif" w:hAnsi="Times New Roman;sans-serif"/>
                <w:b w:val="false"/>
                <w:color w:val="000000"/>
                <w:sz w:val="13"/>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124.3 </w:t>
            </w:r>
          </w:p>
        </w:tc>
        <w:tc>
          <w:tcPr>
            <w:tcW w:w="109"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119.5 </w:t>
            </w:r>
          </w:p>
        </w:tc>
        <w:tc>
          <w:tcPr>
            <w:tcW w:w="127"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428"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225"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54" w:type="dxa"/>
            <w:tcBorders>
              <w:top w:val="single" w:sz="8" w:space="0" w:color="000000"/>
              <w:bottom w:val="double" w:sz="8" w:space="0" w:color="000000"/>
            </w:tcBorders>
            <w:shd w:fill="auto"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 July 2022, we acquired the remaining 50% equity interest in Crestwood Permian Basin Holdings LLC (Crestwood Permian), whose operations included its 50% equity interest in Crestwood Permian Basin LLC (Crestwood Permian Basin). As of March 31, 2023, our equity in the underlying net assets of Crestwood Permian Basin was less than the carrying value of our investment balance by approximately $2.3 million. During the three months ended March 31, 2023, we recorded amortization of less than $0.1 million related to this basis difference, which is reflected as a decrease in our earnings from unconsolidated affiliates in our consolidated statement of operations. Our Crestwood Permian Basin investment is included in our gathering and processing south segment.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(2)As of March 31, 2023, our equity in the underlying net assets of Tres Palacios Holdings LLC (Tres Holdings) exceeded the carrying value of our investment balance by approximately $19.9 million. During both the three months ended March 31, 2023 and 2022, we recorded amortization of approximately $0.3 million related to this excess basis, which is reflected as an increase in our earnings from unconsolidated affiliates in our consolidated statements of operations. Our Tres Holdings investment is included in our storage and logistics segment.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(3)As of March 31, 2023, our equity in the underlying net assets of Powder River Basin Industrial Complex, LLC (PRBIC) approximates the carrying value of our investment balance. Our PRBIC investment is included in our storage and logistics segment. </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(4)As discussed above, in July 2022, we acquired the remaining 50% equity interest in Crestwood Permian and as a result, we control and own 100% of the equity interests in Crestwood Permian. Our Crestwood Permian investment was previously included in our gathering and processing south segment.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Tres Holdings Divestiture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20, 2023, we and Brookfield Infrastructure Group (Brookfield) entered into an agreement with a subsidiary of Enbridge, Inc. to sell each of our respective interests in Tres Holdings for total consideration of approximately $335.0 million, plus working capital adjustments. The sale was completed on April 3, 2023 and we received net proceeds of approximately $178.3 million.</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Distributions and Contributions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summarizes our distributions from and contributions to our unconsolidated affiliates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7003" w:type="dxa"/>
        <w:jc w:val="center"/>
        <w:tblInd w:w="0" w:type="dxa"/>
        <w:tblCellMar>
          <w:top w:w="28" w:type="dxa"/>
          <w:left w:w="28" w:type="dxa"/>
          <w:bottom w:w="28" w:type="dxa"/>
          <w:right w:w="28" w:type="dxa"/>
        </w:tblCellMar>
      </w:tblPr>
      <w:tblGrid>
        <w:gridCol w:w="799"/>
        <w:gridCol w:w="701"/>
        <w:gridCol w:w="705"/>
        <w:gridCol w:w="109"/>
        <w:gridCol w:w="109"/>
        <w:gridCol w:w="109"/>
        <w:gridCol w:w="211"/>
        <w:gridCol w:w="406"/>
        <w:gridCol w:w="109"/>
        <w:gridCol w:w="109"/>
        <w:gridCol w:w="109"/>
        <w:gridCol w:w="109"/>
        <w:gridCol w:w="211"/>
        <w:gridCol w:w="406"/>
        <w:gridCol w:w="109"/>
        <w:gridCol w:w="109"/>
        <w:gridCol w:w="109"/>
        <w:gridCol w:w="109"/>
        <w:gridCol w:w="211"/>
        <w:gridCol w:w="406"/>
        <w:gridCol w:w="109"/>
        <w:gridCol w:w="109"/>
        <w:gridCol w:w="109"/>
        <w:gridCol w:w="109"/>
        <w:gridCol w:w="211"/>
        <w:gridCol w:w="511"/>
        <w:gridCol w:w="109"/>
        <w:gridCol w:w="109"/>
        <w:gridCol w:w="109"/>
        <w:gridCol w:w="109"/>
        <w:gridCol w:w="154"/>
      </w:tblGrid>
      <w:tr>
        <w:trPr/>
        <w:tc>
          <w:tcPr>
            <w:tcW w:w="799" w:type="dxa"/>
            <w:tcBorders/>
            <w:shd w:fill="auto" w:val="clear"/>
            <w:vAlign w:val="center"/>
          </w:tcPr>
          <w:p>
            <w:pPr>
              <w:pStyle w:val="TableContents"/>
              <w:spacing w:before="0" w:after="283"/>
              <w:rPr>
                <w:sz w:val="4"/>
                <w:szCs w:val="4"/>
              </w:rPr>
            </w:pPr>
            <w:r>
              <w:rPr>
                <w:sz w:val="4"/>
                <w:szCs w:val="4"/>
              </w:rPr>
            </w:r>
          </w:p>
        </w:tc>
        <w:tc>
          <w:tcPr>
            <w:tcW w:w="701" w:type="dxa"/>
            <w:tcBorders/>
            <w:shd w:fill="auto" w:val="clear"/>
            <w:vAlign w:val="center"/>
          </w:tcPr>
          <w:p>
            <w:pPr>
              <w:pStyle w:val="TableContents"/>
              <w:spacing w:before="0" w:after="283"/>
              <w:rPr>
                <w:sz w:val="4"/>
                <w:szCs w:val="4"/>
              </w:rPr>
            </w:pPr>
            <w:r>
              <w:rPr>
                <w:sz w:val="4"/>
                <w:szCs w:val="4"/>
              </w:rPr>
            </w:r>
          </w:p>
        </w:tc>
        <w:tc>
          <w:tcPr>
            <w:tcW w:w="7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Distributions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Contributions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8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3" w:type="dxa"/>
            <w:gridSpan w:val="2"/>
            <w:tcBorders/>
            <w:shd w:fill="auto" w:val="clear"/>
          </w:tcPr>
          <w:p>
            <w:pPr>
              <w:pStyle w:val="TableContents"/>
              <w:spacing w:before="0" w:after="283"/>
              <w:rPr>
                <w:sz w:val="4"/>
                <w:szCs w:val="4"/>
              </w:rPr>
            </w:pPr>
            <w:r>
              <w:rPr>
                <w:sz w:val="4"/>
                <w:szCs w:val="4"/>
              </w:rPr>
            </w:r>
          </w:p>
        </w:tc>
      </w:tr>
      <w:tr>
        <w:trPr/>
        <w:tc>
          <w:tcPr>
            <w:tcW w:w="22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Permian Basin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Tres Holdings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Permian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6 – Risk Management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are exposed to certain market risks related to our ongoing business operations. These risks include exposure to changing commodity prices. We utilize derivative instruments to manage our exposure to fluctuations in commodity prices, which is discussed below. Additional information related to our derivatives is discussed in Note 7.</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Risk Management Activities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sell NGLs (such as propane, ethane, butane and heating oil), crude oil and natural gas to energy-related businesses and may use a variety of financial and other instruments including forward contracts involving physical delivery of NGLs, crude oil and natural gas. We periodically enter into offsetting positions to economically hedge against the exposure our customer contracts create. Certain of these contracts and positions are derivative instruments. We do not designate any of our commodity-based derivatives as hedging instruments for accounting purposes. Our commodity-based derivatives are reflected at fair value in our consolidated balance sheets, and changes in the fair value of these derivatives that impact the consolidated statements of operations are reflected in costs of product/services sold. Our commodity-based derivatives that are settled with physical commodities are reflected as an increase to product revenues, and the commodity inventory that is utilized to satisfy those physical obligations is reflected as an increase to product costs in our consolidated statements of operations. Our commodity-based derivatives that are settled financially are also reflected in product costs in our consolidated statements of operations. The following table summarizes the increase (decrease) in our product revenues and product costs, net, in our consolidated statements of operations related to our commodity-based derivatives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xml:space="preserve">): </w:t>
      </w:r>
    </w:p>
    <w:tbl>
      <w:tblPr>
        <w:tblW w:w="4824" w:type="dxa"/>
        <w:jc w:val="center"/>
        <w:tblInd w:w="0" w:type="dxa"/>
        <w:tblCellMar>
          <w:top w:w="28" w:type="dxa"/>
          <w:left w:w="28" w:type="dxa"/>
          <w:bottom w:w="28" w:type="dxa"/>
          <w:right w:w="28" w:type="dxa"/>
        </w:tblCellMar>
      </w:tblPr>
      <w:tblGrid>
        <w:gridCol w:w="558"/>
        <w:gridCol w:w="493"/>
        <w:gridCol w:w="494"/>
        <w:gridCol w:w="109"/>
        <w:gridCol w:w="109"/>
        <w:gridCol w:w="139"/>
        <w:gridCol w:w="139"/>
        <w:gridCol w:w="139"/>
        <w:gridCol w:w="139"/>
        <w:gridCol w:w="270"/>
        <w:gridCol w:w="788"/>
        <w:gridCol w:w="139"/>
        <w:gridCol w:w="109"/>
        <w:gridCol w:w="109"/>
        <w:gridCol w:w="109"/>
        <w:gridCol w:w="211"/>
        <w:gridCol w:w="616"/>
        <w:gridCol w:w="154"/>
      </w:tblGrid>
      <w:tr>
        <w:trPr/>
        <w:tc>
          <w:tcPr>
            <w:tcW w:w="558"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308" w:type="dxa"/>
            <w:gridSpan w:val="6"/>
            <w:tcBorders/>
            <w:shd w:fill="auto" w:val="clea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308" w:type="dxa"/>
            <w:gridSpan w:val="6"/>
            <w:tcBorders/>
            <w:shd w:fill="auto" w:val="clear"/>
          </w:tcPr>
          <w:p>
            <w:pPr>
              <w:pStyle w:val="TableContents"/>
              <w:spacing w:before="0" w:after="283"/>
              <w:rPr>
                <w:sz w:val="4"/>
                <w:szCs w:val="4"/>
              </w:rPr>
            </w:pPr>
            <w:r>
              <w:rPr>
                <w:sz w:val="4"/>
                <w:szCs w:val="4"/>
              </w:rPr>
            </w:r>
          </w:p>
        </w:tc>
      </w:tr>
      <w:tr>
        <w:trPr/>
        <w:tc>
          <w:tcPr>
            <w:tcW w:w="15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154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4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costs,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attempt to balance our contractual portfolio in terms of notional amounts and timing of performance and delivery obligations. This balance in the contractual portfolio significantly reduces the volatility in product costs related to these instruments.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Notional Amounts and Terms</w:t>
      </w:r>
    </w:p>
    <w:p>
      <w:pPr>
        <w:pStyle w:val="TextBody"/>
        <w:spacing w:before="0" w:after="0"/>
        <w:rPr/>
      </w:pPr>
      <w:r>
        <w:rPr/>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notional amounts of our derivative financial instruments include the following: </w:t>
      </w:r>
    </w:p>
    <w:tbl>
      <w:tblPr>
        <w:tblW w:w="10132" w:type="dxa"/>
        <w:jc w:val="left"/>
        <w:tblInd w:w="0" w:type="dxa"/>
        <w:tblCellMar>
          <w:top w:w="28" w:type="dxa"/>
          <w:left w:w="28" w:type="dxa"/>
          <w:bottom w:w="28" w:type="dxa"/>
          <w:right w:w="28" w:type="dxa"/>
        </w:tblCellMar>
      </w:tblPr>
      <w:tblGrid>
        <w:gridCol w:w="1827"/>
        <w:gridCol w:w="1601"/>
        <w:gridCol w:w="1612"/>
        <w:gridCol w:w="315"/>
        <w:gridCol w:w="315"/>
        <w:gridCol w:w="316"/>
        <w:gridCol w:w="143"/>
        <w:gridCol w:w="143"/>
        <w:gridCol w:w="143"/>
        <w:gridCol w:w="315"/>
        <w:gridCol w:w="315"/>
        <w:gridCol w:w="316"/>
        <w:gridCol w:w="109"/>
        <w:gridCol w:w="109"/>
        <w:gridCol w:w="109"/>
        <w:gridCol w:w="315"/>
        <w:gridCol w:w="315"/>
        <w:gridCol w:w="316"/>
        <w:gridCol w:w="169"/>
        <w:gridCol w:w="169"/>
        <w:gridCol w:w="169"/>
        <w:gridCol w:w="290"/>
        <w:gridCol w:w="290"/>
        <w:gridCol w:w="411"/>
      </w:tblGrid>
      <w:tr>
        <w:trPr/>
        <w:tc>
          <w:tcPr>
            <w:tcW w:w="1827" w:type="dxa"/>
            <w:tcBorders/>
            <w:shd w:fill="auto" w:val="clear"/>
            <w:vAlign w:val="center"/>
          </w:tcPr>
          <w:p>
            <w:pPr>
              <w:pStyle w:val="TableContents"/>
              <w:spacing w:before="0" w:after="283"/>
              <w:rPr>
                <w:sz w:val="4"/>
                <w:szCs w:val="4"/>
              </w:rPr>
            </w:pPr>
            <w:r>
              <w:rPr>
                <w:sz w:val="4"/>
                <w:szCs w:val="4"/>
              </w:rPr>
            </w:r>
          </w:p>
        </w:tc>
        <w:tc>
          <w:tcPr>
            <w:tcW w:w="1601" w:type="dxa"/>
            <w:tcBorders/>
            <w:shd w:fill="auto" w:val="clear"/>
            <w:vAlign w:val="center"/>
          </w:tcPr>
          <w:p>
            <w:pPr>
              <w:pStyle w:val="TableContents"/>
              <w:spacing w:before="0" w:after="283"/>
              <w:rPr>
                <w:sz w:val="4"/>
                <w:szCs w:val="4"/>
              </w:rPr>
            </w:pPr>
            <w:r>
              <w:rPr>
                <w:sz w:val="4"/>
                <w:szCs w:val="4"/>
              </w:rPr>
            </w:r>
          </w:p>
        </w:tc>
        <w:tc>
          <w:tcPr>
            <w:tcW w:w="1612"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143"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16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32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50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Price</w:t>
              <w:br/>
              <w:t>Payor</w:t>
            </w:r>
          </w:p>
        </w:tc>
        <w:tc>
          <w:tcPr>
            <w:tcW w:w="429"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Price</w:t>
              <w:br/>
              <w:t>Receiver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Price</w:t>
              <w:br/>
              <w:t>Payor</w:t>
            </w:r>
          </w:p>
        </w:tc>
        <w:tc>
          <w:tcPr>
            <w:tcW w:w="50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Price</w:t>
              <w:br/>
              <w:t>Receiver</w:t>
            </w:r>
          </w:p>
        </w:tc>
      </w:tr>
      <w:tr>
        <w:trPr/>
        <w:tc>
          <w:tcPr>
            <w:tcW w:w="50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Propane, ethane, butane, heating oil and crude oil (MMBbls)</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Natural gas (Bcf)</w:t>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3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Notional amounts reflect the volume of transactions, but do not represent the amounts exchanged by the parties to the financial instruments. Accordingly, notional amounts do not reflect our monetary exposure to market or credit risks. All contracts subject to price risk had a maturity of 36 months or less; however, 92% of the contracted volumes will be delivered or settled within 12 months.</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Credit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Inherent in our contractual portfolio are certain credit risks. Credit risk is the risk of loss from nonperformance by suppliers, customers or financial counterparties to a contract. We take an active role in managing credit risk and have established control procedures, which are reviewed on an ongoing basis. We attempt to minimize credit risk exposure through credit policies and periodic monitoring procedures as well as through customer deposits, letters of credit and entering into netting agreements that allow for offsetting counterparty receivable and payable balances for certain financial transactions, as deemed appropriate. The counterparties associated with our price risk management activities are energy marketers and propane retailers, resellers and dealers.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Certain of our derivative instruments have credit limits that require us to post collateral. The amount of collateral required to be posted is a function of the net liability position of the derivative as well as our established credit limit with the respective counterparty. If our credit rating were to change, the counterparties could require us to post additional collateral. The amount of additional collateral that would be required to be posted would vary depending on the extent of change in our credit rating as well as the requirements of the individual counterparty. All collateral amounts have been netted against the asset or liability with the respective counterparty and are reflected in our consolidated balance sheets as assets and liabilities from price risk management activities. For a summary of the fair value of our commodity derivative instruments with credit-risk related contingent features and their associated collateral, see Note 7.</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7 – Fair Value Measurements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accounting standard for fair value measurement establishes a three-tier fair value hierarchy, which prioritizes the inputs used in measuring fair value.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1 — Includes inputs that are observable in active markets for identical assets or liabilities as of the reporting date such as exchange-traded derivatives, listed equities and US government treasury securities.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2 — Includes inputs that are other than quoted prices in active markets included in Level 1, which are either directly or indirectly observable as of the reporting date. Instruments in this category include non-exchange-traded derivatives such as over the counter (OTC) forwards, options and physical exchanges.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Level 3 — Includes significant inputs that are generally less observable from objective sources. These inputs may be used with internally developed methodologies that result in management’s best estimate of fair value.</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Financial Assets and Liabilities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we held certain assets and liabilities that are required to be measured at fair value on a recurring basis, which include our derivative instruments related to crude oil, NGLs and natural gas. Our derivative instruments consist of forwards, swaps, futures, physical exchanges and options. Our derivative instruments that are traded on the New York Mercantile Exchange have been categorized as Level 1. Our derivative instruments also include OTC contracts, which have been categorized as Level 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tables summarize the fair value hierarchy of our financial instruments that were reflected in our consolidated balance sheets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10205" w:type="dxa"/>
        <w:jc w:val="center"/>
        <w:tblInd w:w="0" w:type="dxa"/>
        <w:tblCellMar>
          <w:top w:w="28" w:type="dxa"/>
          <w:left w:w="28" w:type="dxa"/>
          <w:bottom w:w="28" w:type="dxa"/>
          <w:right w:w="28" w:type="dxa"/>
        </w:tblCellMar>
      </w:tblPr>
      <w:tblGrid>
        <w:gridCol w:w="927"/>
        <w:gridCol w:w="483"/>
        <w:gridCol w:w="487"/>
        <w:gridCol w:w="211"/>
        <w:gridCol w:w="511"/>
        <w:gridCol w:w="109"/>
        <w:gridCol w:w="109"/>
        <w:gridCol w:w="109"/>
        <w:gridCol w:w="109"/>
        <w:gridCol w:w="211"/>
        <w:gridCol w:w="616"/>
        <w:gridCol w:w="109"/>
        <w:gridCol w:w="109"/>
        <w:gridCol w:w="109"/>
        <w:gridCol w:w="109"/>
        <w:gridCol w:w="211"/>
        <w:gridCol w:w="406"/>
        <w:gridCol w:w="109"/>
        <w:gridCol w:w="109"/>
        <w:gridCol w:w="109"/>
        <w:gridCol w:w="109"/>
        <w:gridCol w:w="217"/>
        <w:gridCol w:w="635"/>
        <w:gridCol w:w="112"/>
        <w:gridCol w:w="109"/>
        <w:gridCol w:w="109"/>
        <w:gridCol w:w="109"/>
        <w:gridCol w:w="218"/>
        <w:gridCol w:w="657"/>
        <w:gridCol w:w="112"/>
        <w:gridCol w:w="109"/>
        <w:gridCol w:w="109"/>
        <w:gridCol w:w="109"/>
        <w:gridCol w:w="238"/>
        <w:gridCol w:w="656"/>
        <w:gridCol w:w="122"/>
        <w:gridCol w:w="109"/>
        <w:gridCol w:w="109"/>
        <w:gridCol w:w="109"/>
        <w:gridCol w:w="212"/>
        <w:gridCol w:w="514"/>
        <w:gridCol w:w="160"/>
      </w:tblGrid>
      <w:tr>
        <w:trPr/>
        <w:tc>
          <w:tcPr>
            <w:tcW w:w="927" w:type="dxa"/>
            <w:tcBorders/>
            <w:shd w:fill="auto" w:val="clear"/>
            <w:vAlign w:val="center"/>
          </w:tcPr>
          <w:p>
            <w:pPr>
              <w:pStyle w:val="TableContents"/>
              <w:spacing w:before="0" w:after="283"/>
              <w:rPr>
                <w:sz w:val="4"/>
                <w:szCs w:val="4"/>
              </w:rPr>
            </w:pPr>
            <w:r>
              <w:rPr>
                <w:sz w:val="4"/>
                <w:szCs w:val="4"/>
              </w:rPr>
            </w:r>
          </w:p>
        </w:tc>
        <w:tc>
          <w:tcPr>
            <w:tcW w:w="483" w:type="dxa"/>
            <w:tcBorders/>
            <w:shd w:fill="auto" w:val="clear"/>
            <w:vAlign w:val="center"/>
          </w:tcPr>
          <w:p>
            <w:pPr>
              <w:pStyle w:val="TableContents"/>
              <w:spacing w:before="0" w:after="283"/>
              <w:rPr>
                <w:sz w:val="4"/>
                <w:szCs w:val="4"/>
              </w:rPr>
            </w:pPr>
            <w:r>
              <w:rPr>
                <w:sz w:val="4"/>
                <w:szCs w:val="4"/>
              </w:rPr>
            </w:r>
          </w:p>
        </w:tc>
        <w:tc>
          <w:tcPr>
            <w:tcW w:w="48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4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635"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657" w:type="dxa"/>
            <w:tcBorders/>
            <w:shd w:fill="auto" w:val="clear"/>
            <w:vAlign w:val="center"/>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c>
          <w:tcPr>
            <w:tcW w:w="656"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8"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89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34" w:type="dxa"/>
            <w:gridSpan w:val="21"/>
            <w:tcBorders/>
            <w:shd w:fill="auto" w:val="clear"/>
          </w:tcPr>
          <w:p>
            <w:pPr>
              <w:pStyle w:val="TableContents"/>
              <w:spacing w:before="0" w:after="283"/>
              <w:rPr>
                <w:sz w:val="4"/>
                <w:szCs w:val="4"/>
              </w:rPr>
            </w:pPr>
            <w:r>
              <w:rPr>
                <w:sz w:val="4"/>
                <w:szCs w:val="4"/>
              </w:rPr>
            </w:r>
          </w:p>
        </w:tc>
      </w:tr>
      <w:tr>
        <w:trPr/>
        <w:tc>
          <w:tcPr>
            <w:tcW w:w="1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Contract Netting</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Collateral/Margin Received or Paid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from price risk management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investments</w:t>
            </w:r>
            <w:r>
              <w:rPr>
                <w:rFonts w:ascii="Times New Roman;sans-serif" w:hAnsi="Times New Roman;sans-serif"/>
                <w:b w:val="false"/>
                <w:color w:val="000000"/>
                <w:sz w:val="13"/>
              </w:rPr>
              <w:t>(2)</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from price risk management with credit-risk-related contingent features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221.9 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from price risk management without credit-risk-related contingent features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(219.6)</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08" w:type="dxa"/>
            <w:gridSpan w:val="3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897" w:type="dxa"/>
            <w:gridSpan w:val="3"/>
            <w:tcBorders/>
            <w:shd w:fill="auto" w:val="clear"/>
            <w:vAlign w:val="center"/>
          </w:tcPr>
          <w:p>
            <w:pPr>
              <w:pStyle w:val="TableContents"/>
              <w:spacing w:before="0" w:after="283"/>
              <w:rPr>
                <w:sz w:val="4"/>
                <w:szCs w:val="4"/>
              </w:rPr>
            </w:pPr>
            <w:r>
              <w:rPr>
                <w:sz w:val="4"/>
                <w:szCs w:val="4"/>
              </w:rPr>
            </w:r>
          </w:p>
        </w:tc>
        <w:tc>
          <w:tcPr>
            <w:tcW w:w="8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834" w:type="dxa"/>
            <w:gridSpan w:val="21"/>
            <w:tcBorders/>
            <w:shd w:fill="auto" w:val="clear"/>
          </w:tcPr>
          <w:p>
            <w:pPr>
              <w:pStyle w:val="TableContents"/>
              <w:spacing w:before="0" w:after="283"/>
              <w:rPr>
                <w:sz w:val="4"/>
                <w:szCs w:val="4"/>
              </w:rPr>
            </w:pPr>
            <w:r>
              <w:rPr>
                <w:sz w:val="4"/>
                <w:szCs w:val="4"/>
              </w:rPr>
            </w:r>
          </w:p>
        </w:tc>
      </w:tr>
      <w:tr>
        <w:trPr/>
        <w:tc>
          <w:tcPr>
            <w:tcW w:w="189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Gross Fair Value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Contract Netting</w:t>
            </w:r>
            <w:r>
              <w:rPr>
                <w:rFonts w:ascii="Times New Roman;sans-serif" w:hAnsi="Times New Roman;sans-serif"/>
                <w:b/>
                <w:color w:val="000000"/>
                <w:sz w:val="12"/>
              </w:rP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Collateral/Margin Received or Paid</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from price risk management</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537.1 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 investments</w:t>
            </w:r>
            <w:r>
              <w:rPr>
                <w:rFonts w:ascii="Times New Roman;sans-serif" w:hAnsi="Times New Roman;sans-serif"/>
                <w:b w:val="false"/>
                <w:color w:val="000000"/>
                <w:sz w:val="13"/>
              </w:rPr>
              <w:t>(2)</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at fair value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539.7 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8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from price risk management with credit-risk-related contingent features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w:t>
            </w:r>
          </w:p>
        </w:tc>
        <w:tc>
          <w:tcPr>
            <w:tcW w:w="12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8.1 </w:t>
            </w:r>
          </w:p>
        </w:tc>
        <w:tc>
          <w:tcPr>
            <w:tcW w:w="160" w:type="dxa"/>
            <w:tcBorders/>
            <w:shd w:fill="CCEE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89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from price risk management without credit-risk-related contingent features</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3.9 </w:t>
            </w:r>
          </w:p>
        </w:tc>
        <w:tc>
          <w:tcPr>
            <w:tcW w:w="12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9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at fair value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497.7 </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w:t>
            </w:r>
          </w:p>
        </w:tc>
        <w:tc>
          <w:tcPr>
            <w:tcW w:w="1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(1)Amounts represent the impact of legally enforceable master netting agreements that allow us to settle positive and negative positions.</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(2)Amount primarily relates to our investment in Suburban Propane Partners, L.P. units, which is reflected in other non-current assets on CEQP’s consolidated balance sheets.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Cash, Accounts Receivable and Accounts Payable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and December 31, 2022, the carrying amounts of cash, accounts receivable and accounts payable approximate fair value based on the short-term nature of these instruments.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Credit Facilities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fair value of the amounts outstanding under our credit facilities approximates their respective carrying amounts as of March 31, 2023 and December 31, 2022, primarily due to the variable nature of the interest rates of the instruments, which is considered a Level 2 fair value measurement. See Note 8 for a further discussion of our credit facilities.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Senior Notes </w:t>
      </w:r>
    </w:p>
    <w:p>
      <w:pPr>
        <w:pStyle w:val="TextBody"/>
        <w:spacing w:before="0" w:after="0"/>
        <w:rPr/>
      </w:pPr>
      <w:r>
        <w:rPr/>
      </w:r>
    </w:p>
    <w:p>
      <w:pPr>
        <w:pStyle w:val="TextBody"/>
        <w:spacing w:lineRule="auto" w:line="288" w:before="0" w:after="180"/>
        <w:rPr/>
      </w:pPr>
      <w:r>
        <w:rPr>
          <w:rFonts w:ascii="Times New Roman;sans-serif" w:hAnsi="Times New Roman;sans-serif"/>
          <w:b w:val="false"/>
          <w:color w:val="000000"/>
          <w:sz w:val="20"/>
        </w:rPr>
        <w:t>We estimate the fair value of our senior notes primarily based on quoted market prices for the same or similar issuances (representing a Level 2 fair value measurement). The following table represents the carrying amount (reduced for deferred financing costs associated with the respective notes) and fair value of our senior notes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xml:space="preserve">): </w:t>
      </w:r>
    </w:p>
    <w:tbl>
      <w:tblPr>
        <w:tblW w:w="7155" w:type="dxa"/>
        <w:jc w:val="center"/>
        <w:tblInd w:w="0" w:type="dxa"/>
        <w:tblCellMar>
          <w:top w:w="28" w:type="dxa"/>
          <w:left w:w="28" w:type="dxa"/>
          <w:bottom w:w="28" w:type="dxa"/>
          <w:right w:w="28" w:type="dxa"/>
        </w:tblCellMar>
      </w:tblPr>
      <w:tblGrid>
        <w:gridCol w:w="864"/>
        <w:gridCol w:w="757"/>
        <w:gridCol w:w="76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864" w:type="dxa"/>
            <w:tcBorders/>
            <w:shd w:fill="auto" w:val="clear"/>
            <w:vAlign w:val="center"/>
          </w:tcPr>
          <w:p>
            <w:pPr>
              <w:pStyle w:val="TableContents"/>
              <w:spacing w:before="0" w:after="283"/>
              <w:rPr>
                <w:sz w:val="4"/>
                <w:szCs w:val="4"/>
              </w:rPr>
            </w:pPr>
            <w:r>
              <w:rPr>
                <w:sz w:val="4"/>
                <w:szCs w:val="4"/>
              </w:rPr>
            </w:r>
          </w:p>
        </w:tc>
        <w:tc>
          <w:tcPr>
            <w:tcW w:w="757" w:type="dxa"/>
            <w:tcBorders/>
            <w:shd w:fill="auto" w:val="clear"/>
            <w:vAlign w:val="center"/>
          </w:tcPr>
          <w:p>
            <w:pPr>
              <w:pStyle w:val="TableContents"/>
              <w:spacing w:before="0" w:after="283"/>
              <w:rPr>
                <w:sz w:val="4"/>
                <w:szCs w:val="4"/>
              </w:rPr>
            </w:pPr>
            <w:r>
              <w:rPr>
                <w:sz w:val="4"/>
                <w:szCs w:val="4"/>
              </w:rPr>
            </w:r>
          </w:p>
        </w:tc>
        <w:tc>
          <w:tcPr>
            <w:tcW w:w="7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38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 xml:space="preserve">Value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w:t>
              <w:br/>
              <w:t> Amount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Fair </w:t>
              <w:br/>
              <w:t>Value</w:t>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2029 Senior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April 2029 Senior Notes</w:t>
            </w:r>
            <w:r>
              <w:rPr>
                <w:rFonts w:ascii="Times New Roman;sans-serif" w:hAnsi="Times New Roman;sans-serif"/>
                <w:b w:val="false"/>
                <w:color w:val="000000"/>
                <w:sz w:val="13"/>
              </w:rPr>
              <w:t>(1)</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The carrying amount includes a fair value adjustment we recorded in conjunction with the merger with Oasis Midstream discussed in Note 3. For a further discussion of this fair value adjustment, see Note 8.</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8 – Long-Term Debt</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Long-term debt consisted of the following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6948" w:type="dxa"/>
        <w:jc w:val="left"/>
        <w:tblInd w:w="0" w:type="dxa"/>
        <w:tblCellMar>
          <w:top w:w="28" w:type="dxa"/>
          <w:left w:w="28" w:type="dxa"/>
          <w:bottom w:w="28" w:type="dxa"/>
          <w:right w:w="28" w:type="dxa"/>
        </w:tblCellMar>
      </w:tblPr>
      <w:tblGrid>
        <w:gridCol w:w="1575"/>
        <w:gridCol w:w="1385"/>
        <w:gridCol w:w="1390"/>
        <w:gridCol w:w="211"/>
        <w:gridCol w:w="766"/>
        <w:gridCol w:w="109"/>
        <w:gridCol w:w="109"/>
        <w:gridCol w:w="109"/>
        <w:gridCol w:w="109"/>
        <w:gridCol w:w="221"/>
        <w:gridCol w:w="803"/>
        <w:gridCol w:w="161"/>
      </w:tblGrid>
      <w:tr>
        <w:trPr/>
        <w:tc>
          <w:tcPr>
            <w:tcW w:w="1575" w:type="dxa"/>
            <w:tcBorders/>
            <w:shd w:fill="auto" w:val="clear"/>
            <w:vAlign w:val="center"/>
          </w:tcPr>
          <w:p>
            <w:pPr>
              <w:pStyle w:val="TableContents"/>
              <w:spacing w:before="0" w:after="283"/>
              <w:rPr>
                <w:sz w:val="4"/>
                <w:szCs w:val="4"/>
              </w:rPr>
            </w:pPr>
            <w:r>
              <w:rPr>
                <w:sz w:val="4"/>
                <w:szCs w:val="4"/>
              </w:rPr>
            </w:r>
          </w:p>
        </w:tc>
        <w:tc>
          <w:tcPr>
            <w:tcW w:w="1385"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803"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CMLP Credit Facility</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922.3 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CPBH Credit Facility</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Senior Notes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2029 Senior Notes</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2029 Senior Notes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April 2029 Senior Notes fair value adjustment, net</w:t>
            </w:r>
            <w:r>
              <w:rPr>
                <w:rFonts w:ascii="Times New Roman;sans-serif" w:hAnsi="Times New Roman;sans-serif"/>
                <w:b w:val="false"/>
                <w:color w:val="000000"/>
                <w:sz w:val="13"/>
              </w:rPr>
              <w:t>(1)</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 Senior Notes</w:t>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deferred financing costs, net</w:t>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35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auto" w:val="clear"/>
            <w:vAlign w:val="center"/>
          </w:tcPr>
          <w:p>
            <w:pPr>
              <w:pStyle w:val="TableContents"/>
              <w:spacing w:before="0" w:after="283"/>
              <w:rPr>
                <w:sz w:val="4"/>
                <w:szCs w:val="4"/>
              </w:rPr>
            </w:pPr>
            <w:r>
              <w:rPr>
                <w:sz w:val="4"/>
                <w:szCs w:val="4"/>
              </w:rPr>
            </w:r>
          </w:p>
        </w:tc>
        <w:tc>
          <w:tcPr>
            <w:tcW w:w="108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r>
        <w:trPr/>
        <w:tc>
          <w:tcPr>
            <w:tcW w:w="435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3,378.3 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 conjunction with the merger with Oasis Midstream discussed in Note 3, we assumed the April 2029 Senior Notes, and we recorded a fair value adjustment of approximately $30.7 million. During the three months ended March 31, 2023 and 2022, we recorded a reduction to our interest and debt expense of approximately $1.0 million and $0.7 million related to the amortization of the fair value adjustment.</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Credit Facilities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CMLP Credit Facility.</w:t>
      </w:r>
      <w:r>
        <w:rPr>
          <w:color w:val="000000"/>
        </w:rPr>
        <w:t xml:space="preserve"> </w:t>
      </w:r>
      <w:r>
        <w:rPr>
          <w:rFonts w:ascii="Times New Roman;sans-serif" w:hAnsi="Times New Roman;sans-serif"/>
          <w:b w:val="false"/>
          <w:color w:val="000000"/>
          <w:sz w:val="20"/>
        </w:rPr>
        <w:t>Crestwood Midstream’s five-year $1.75 billion revolving credit facility (the CMLP Credit Facility) is available to fund acquisitions, working capital and internal growth projects and for general partnership purposes. Subject to limited exception, the CMLP Credit Facility is guaranteed and secured by substantially all of the equity interests and assets of Crestwood Midstream’s subsidiaries, except for Crestwood Infrastructure Holdings LLC, Crestwood Niobrara LLC, PRBIC and Tres Holdings and their respective subsidiaries. In January 2023, Crestwood Permian and certain of its subsidiaries were designated as guarantor subsidiaries of Crestwood Midstream’s credit facility and senior notes.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conjunction with the merger with Oasis Midstream on February 1, 2022, we borrowed amounts under the CMLP Credit Facility to fund the cash paid of $160 million to Oasis Petroleum and to repay approximately $218 million of borrowings on Oasis Midstream’s credit facility, which was retired on February 1,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credit agreement, Crestwood Midstream is required to maintain a net debt to consolidated EBITDA ratio (as defined in the credit agreement) of not more than 5.50 to 1.0, a consolidated EBITDA to consolidated interest expense ratio (as defined in the credit agreement) of not less than 2.50 to 1.0, and a senior secured leverage ratio (as defined in the credit agreement) of </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more than 3.50 to 1.0. At March 31, 2023, the net debt to consolidated EBITDA ratio was approximately 4.18 to 1.0, the consolidated EBITDA to consolidated interest expense ratio was approximately 4.25 to 1.0, and the senior secured leverage ratio was 0.59 to 1.0.</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At March 31, 2023, Crestwood Midstream had $1.1 billion of available capacity under the CMLP Credit Facility considering the most restrictive debt covenants in the credit agreement. At March 31, 2023 and December 31, 2022, outstanding standby letters of credit under the CMLP Credit Facility were $7.9 million and $8.2 million. Borrowings under the CMLP Credit Facility accrue interest at either prime or the Adjusted Term SOFR (as defined in the credit agreement) plus applicable spreads, which resulted in interest rates between 6.76% and 9.00% at March 31, 2023 and 6.28% and 8.50% at December 31, 2022. The weighted-average interest rate on outstanding borrowings as of March 31, 2023 and December 31, 2022 was 6.96% and 6.40%. </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CPBH Credit Facility.</w:t>
      </w:r>
      <w:r>
        <w:rPr>
          <w:color w:val="000000"/>
        </w:rPr>
        <w:t xml:space="preserve"> </w:t>
      </w:r>
      <w:r>
        <w:rPr>
          <w:rFonts w:ascii="Times New Roman;sans-serif" w:hAnsi="Times New Roman;sans-serif"/>
          <w:b w:val="false"/>
          <w:color w:val="000000"/>
          <w:sz w:val="20"/>
        </w:rPr>
        <w:t xml:space="preserve">In conjunction with the acquisition of the remaining 50% equity interest in Crestwood Permian in July 2022, we assumed a credit agreement entered into by CPB Subsidiary Holdings LLC (CPB Holdings), a wholly-owned subsidiary of Crestwood Permian (the CPBH Credit Facility). In January 2023, we utilized borrowings under the CMLP Credit Facility to repay and terminate the CPBH Credit Facility.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Senior Notes</w:t>
      </w:r>
    </w:p>
    <w:p>
      <w:pPr>
        <w:pStyle w:val="TextBody"/>
        <w:spacing w:before="0" w:after="0"/>
        <w:rPr/>
      </w:pPr>
      <w:r>
        <w:rPr/>
      </w:r>
    </w:p>
    <w:p>
      <w:pPr>
        <w:pStyle w:val="TextBody"/>
        <w:spacing w:lineRule="auto" w:line="288" w:before="0" w:after="0"/>
        <w:rPr/>
      </w:pPr>
      <w:r>
        <w:rPr>
          <w:rFonts w:ascii="Times New Roman;sans-serif" w:hAnsi="Times New Roman;sans-serif"/>
          <w:b/>
          <w:i/>
          <w:color w:val="000000"/>
          <w:sz w:val="20"/>
        </w:rPr>
        <w:t>2031 Senior Notes.</w:t>
      </w:r>
      <w:r>
        <w:rPr>
          <w:color w:val="000000"/>
        </w:rPr>
        <w:t xml:space="preserve"> </w:t>
      </w:r>
      <w:r>
        <w:rPr>
          <w:rFonts w:ascii="Times New Roman;sans-serif" w:hAnsi="Times New Roman;sans-serif"/>
          <w:b w:val="false"/>
          <w:color w:val="000000"/>
          <w:sz w:val="20"/>
        </w:rPr>
        <w:t xml:space="preserve">In January 2023, Crestwood Midstream issued $600 million of 7.375% unsecured senior notes due 2031 (the 2031 Senior Notes). The 2031 Senior Notes will mature on February 1, 2031, and interest is payable semi-annually in arrears on February 1 and August 1 of each year, beginning on August 1, 2023. The net proceeds from this offering of approximately $592.5 million were used to repay borrowings outstanding under the CMLP Credit Facility.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9 – Commitments and Contingencies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Legal Proceedings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Linde Lawsuit</w:t>
      </w:r>
      <w:r>
        <w:rPr>
          <w:rFonts w:ascii="Times New Roman;sans-serif" w:hAnsi="Times New Roman;sans-serif"/>
          <w:b w:val="false"/>
          <w:color w:val="000000"/>
          <w:sz w:val="20"/>
        </w:rPr>
        <w:t>. On December 23, 2019, Linde Engineering North America Inc. (Linde) filed a lawsuit in the District Court of Harris County, Texas alleging that Arrow Field Services, LLC, our consolidated subsidiary, and Crestwood Midstream breached a contract entered into in March 2018 under which Linde was to provide engineering, procurement and construction services to us related to the completion of the construction of the Bear Den II cryogenic processing plant.</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 jury trial concluded on June 17, 2022, and a final judgement was entered on October 24, 2022. The final judgment includes an award of damages of approximately $20.7 million, a pre-judgement interest award of approximately $17.7 million and attorney fees and other costs of approximately $4.7 million. We have insurance coverage related to certain pre-judgement interest awards but have not recorded a receivable related to any potential insurance recovery at March 31, 2023. On January 9, 2023, we paid approximately $21.2 million to the Court Registry under protest to mitigate the impact of post-judgement interest. We filed a Notice of Appeal on January 13, 2023, and we are unable to predict the ultimate outcome on the appeal related to this matter.</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General</w:t>
      </w:r>
      <w:r>
        <w:rPr>
          <w:rFonts w:ascii="Times New Roman;sans-serif" w:hAnsi="Times New Roman;sans-serif"/>
          <w:b w:val="false"/>
          <w:color w:val="000000"/>
          <w:sz w:val="20"/>
        </w:rPr>
        <w:t xml:space="preserve">. We are periodically involved in litigation proceedings. If we determine that a negative outcome is probable and the amount of loss is reasonably estimable, then we accrue the estimated amount. The results of litigation proceedings cannot be predicted with certainty. We could incur judgments, enter into settlements or revise our expectations regarding the outcome of certain matters, and such developments could have a material adverse effect on our results of operations or cash flows in the period in which the amounts are paid and/or accrued. As of March 31, 2023 and December 31, 2022, we had approximately $9.0 million and $35.0 million accrued for outstanding legal matters. Based on currently available information, we believe it is remote that future costs related to known contingent liability exposures for which we can estimate will exceed current accruals by an amount that would have a material adverse impact on our consolidated financial statements. As we learn new facts concerning contingencies, we reassess our position both with respect to accrued liabilities and other potential exposures.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Any loss estimates are inherently subjective, based on currently available information, and are subject to management’s judgment and various assumptions. Due to the inherently subjective nature of these estimates and the uncertainty and unpredictability surrounding the outcome of legal proceedings, actual results may differ materially from any amounts that have been accrued. </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Regulatory Compliance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our business, we are subject to various laws and regulations. In the opinion of our management, compliance with current laws and regulations will not have a material effect on our results of operations, cash flows or financial condition.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Environmental Compliance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stringent and complex laws and regulations pertaining to worker health, safety, and the environment. We are subject to laws and regulations at the federal, state, regional and local levels that relate to air and water quality, hazardous and solid waste management and disposal, and other environmental matters. The cost of planning, designing, constructing and operating our facilities must incorporate compliance with environmental laws and regulations and safety standards. Failure to comply with these laws and regulations may trigger a variety of administrative, civil and potentially criminal enforcement measures. At both March 31, 2023 and December 31, 2022, our accrual for environmental matters was less than $1.0 million and our potential exposure related to environmental matters was less than $1.0 million at March 31,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Self-Insurance</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utilize third-party insurance subject to varying retention levels of self-insurance, which management considers prudent. Such self-insurance relates to losses and liabilities primarily associated with medical claims, workers’ compensation claims and general, product, vehicle and environmental liability. Losses are accrued based upon management’s estimates of the aggregate liability for claims incurred using certain assumptions followed in the insurance industry and based on past experience. The primary assumption utilized is actuarially determined loss development factors. The loss development factors are based primarily on historical data. Our self-insurance reserves could be affected if future claim developments differ from the historical trends. We believe changes in health care costs, trends in health care claims of our employee base, accident frequency and severity and other factors could materially affect the estimate for these liabilities. We continually monitor changes in employee demographics, incident and claim type and evaluate our insurance accruals and adjust our accruals based on our evaluation of these qualitative data points. We are liable for the development of claims for our previously disposed of retail propane operations, provided they were reported prior to August 1, 2012. The following table summarizes CEQP’s and CMLP’s self-insurance reserves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xml:space="preserve">): </w:t>
      </w:r>
    </w:p>
    <w:tbl>
      <w:tblPr>
        <w:tblW w:w="8016" w:type="dxa"/>
        <w:jc w:val="left"/>
        <w:tblInd w:w="0" w:type="dxa"/>
        <w:tblCellMar>
          <w:top w:w="28" w:type="dxa"/>
          <w:left w:w="28" w:type="dxa"/>
          <w:bottom w:w="28" w:type="dxa"/>
          <w:right w:w="28" w:type="dxa"/>
        </w:tblCellMar>
      </w:tblPr>
      <w:tblGrid>
        <w:gridCol w:w="771"/>
        <w:gridCol w:w="678"/>
        <w:gridCol w:w="681"/>
        <w:gridCol w:w="257"/>
        <w:gridCol w:w="495"/>
        <w:gridCol w:w="133"/>
        <w:gridCol w:w="109"/>
        <w:gridCol w:w="109"/>
        <w:gridCol w:w="109"/>
        <w:gridCol w:w="449"/>
        <w:gridCol w:w="864"/>
        <w:gridCol w:w="232"/>
        <w:gridCol w:w="109"/>
        <w:gridCol w:w="109"/>
        <w:gridCol w:w="109"/>
        <w:gridCol w:w="257"/>
        <w:gridCol w:w="495"/>
        <w:gridCol w:w="133"/>
        <w:gridCol w:w="109"/>
        <w:gridCol w:w="109"/>
        <w:gridCol w:w="109"/>
        <w:gridCol w:w="434"/>
        <w:gridCol w:w="837"/>
        <w:gridCol w:w="319"/>
      </w:tblGrid>
      <w:tr>
        <w:trPr/>
        <w:tc>
          <w:tcPr>
            <w:tcW w:w="771" w:type="dxa"/>
            <w:tcBorders/>
            <w:shd w:fill="auto" w:val="clear"/>
            <w:vAlign w:val="center"/>
          </w:tcPr>
          <w:p>
            <w:pPr>
              <w:pStyle w:val="TableContents"/>
              <w:spacing w:before="0" w:after="283"/>
              <w:rPr>
                <w:sz w:val="4"/>
                <w:szCs w:val="4"/>
              </w:rPr>
            </w:pPr>
            <w:r>
              <w:rPr>
                <w:sz w:val="4"/>
                <w:szCs w:val="4"/>
              </w:rPr>
            </w:r>
          </w:p>
        </w:tc>
        <w:tc>
          <w:tcPr>
            <w:tcW w:w="678" w:type="dxa"/>
            <w:tcBorders/>
            <w:shd w:fill="auto" w:val="clear"/>
            <w:vAlign w:val="center"/>
          </w:tcPr>
          <w:p>
            <w:pPr>
              <w:pStyle w:val="TableContents"/>
              <w:spacing w:before="0" w:after="283"/>
              <w:rPr>
                <w:sz w:val="4"/>
                <w:szCs w:val="4"/>
              </w:rPr>
            </w:pPr>
            <w:r>
              <w:rPr>
                <w:sz w:val="4"/>
                <w:szCs w:val="4"/>
              </w:rPr>
            </w:r>
          </w:p>
        </w:tc>
        <w:tc>
          <w:tcPr>
            <w:tcW w:w="681"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49" w:type="dxa"/>
            <w:tcBorders/>
            <w:shd w:fill="auto" w:val="clear"/>
            <w:vAlign w:val="center"/>
          </w:tcPr>
          <w:p>
            <w:pPr>
              <w:pStyle w:val="TableContents"/>
              <w:spacing w:before="0" w:after="283"/>
              <w:rPr>
                <w:sz w:val="4"/>
                <w:szCs w:val="4"/>
              </w:rPr>
            </w:pPr>
            <w:r>
              <w:rPr>
                <w:sz w:val="4"/>
                <w:szCs w:val="4"/>
              </w:rPr>
            </w:r>
          </w:p>
        </w:tc>
        <w:tc>
          <w:tcPr>
            <w:tcW w:w="864" w:type="dxa"/>
            <w:tcBorders/>
            <w:shd w:fill="auto" w:val="clear"/>
            <w:vAlign w:val="center"/>
          </w:tcPr>
          <w:p>
            <w:pPr>
              <w:pStyle w:val="TableContents"/>
              <w:spacing w:before="0" w:after="283"/>
              <w:rPr>
                <w:sz w:val="4"/>
                <w:szCs w:val="4"/>
              </w:rPr>
            </w:pPr>
            <w:r>
              <w:rPr>
                <w:sz w:val="4"/>
                <w:szCs w:val="4"/>
              </w:rPr>
            </w:r>
          </w:p>
        </w:tc>
        <w:tc>
          <w:tcPr>
            <w:tcW w:w="2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837" w:type="dxa"/>
            <w:tcBorders/>
            <w:shd w:fill="auto" w:val="clear"/>
            <w:vAlign w:val="center"/>
          </w:tcPr>
          <w:p>
            <w:pPr>
              <w:pStyle w:val="TableContents"/>
              <w:spacing w:before="0" w:after="283"/>
              <w:rPr>
                <w:sz w:val="4"/>
                <w:szCs w:val="4"/>
              </w:rPr>
            </w:pPr>
            <w:r>
              <w:rPr>
                <w:sz w:val="4"/>
                <w:szCs w:val="4"/>
              </w:rPr>
            </w:r>
          </w:p>
        </w:tc>
        <w:tc>
          <w:tcPr>
            <w:tcW w:w="319" w:type="dxa"/>
            <w:tcBorders/>
            <w:shd w:fill="auto" w:val="clear"/>
            <w:vAlign w:val="center"/>
          </w:tcPr>
          <w:p>
            <w:pPr>
              <w:pStyle w:val="TableContents"/>
              <w:spacing w:before="0" w:after="283"/>
              <w:rPr>
                <w:sz w:val="4"/>
                <w:szCs w:val="4"/>
              </w:rPr>
            </w:pPr>
            <w:r>
              <w:rPr>
                <w:sz w:val="4"/>
                <w:szCs w:val="4"/>
              </w:rPr>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2757"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CEQP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02"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CMLP</w:t>
            </w:r>
          </w:p>
        </w:tc>
      </w:tr>
      <w:tr>
        <w:trPr/>
        <w:tc>
          <w:tcPr>
            <w:tcW w:w="21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13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Self-insurance reserves</w:t>
            </w:r>
            <w:r>
              <w:rPr>
                <w:rFonts w:ascii="Times New Roman;sans-serif" w:hAnsi="Times New Roman;sans-serif"/>
                <w:b w:val="false"/>
                <w:color w:val="000000"/>
                <w:sz w:val="13"/>
              </w:rPr>
              <w:t>(1)</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4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(1)At March 31, 2023, CEQP and CMLP classified approximately $3.2 million and $2.7 million, respectively, of these reserves as other long-term liabilities on their consolidated balance sheets.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Indemnifications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periodically provide indemnification arrangements related to assets or businesses we have sold. Our potential exposure under indemnification arrangements can range from a specified amount to an unlimited amount, depending on the nature of the claim, specificity as to duration, and the particular transaction. As of March 31, 2023 and December 31, 2022, we have no amounts accrued for these indemnifications.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Note 10</w:t>
      </w:r>
      <w:r>
        <w:rPr>
          <w:color w:val="000000"/>
        </w:rPr>
        <w:t xml:space="preserve"> </w:t>
      </w:r>
      <w:r>
        <w:rPr>
          <w:rFonts w:ascii="Times New Roman;sans-serif" w:hAnsi="Times New Roman;sans-serif"/>
          <w:b w:val="false"/>
          <w:color w:val="000000"/>
          <w:sz w:val="20"/>
        </w:rPr>
        <w:t xml:space="preserve">- </w:t>
      </w:r>
      <w:r>
        <w:rPr>
          <w:rFonts w:ascii="Times New Roman;sans-serif" w:hAnsi="Times New Roman;sans-serif"/>
          <w:b/>
          <w:color w:val="000000"/>
          <w:sz w:val="20"/>
        </w:rPr>
        <w:t>Leases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summarizes the balance sheet information related to our operating and finance leases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6025" w:type="dxa"/>
        <w:jc w:val="center"/>
        <w:tblInd w:w="0" w:type="dxa"/>
        <w:tblCellMar>
          <w:top w:w="28" w:type="dxa"/>
          <w:left w:w="28" w:type="dxa"/>
          <w:bottom w:w="28" w:type="dxa"/>
          <w:right w:w="28" w:type="dxa"/>
        </w:tblCellMar>
      </w:tblPr>
      <w:tblGrid>
        <w:gridCol w:w="1168"/>
        <w:gridCol w:w="1025"/>
        <w:gridCol w:w="1031"/>
        <w:gridCol w:w="224"/>
        <w:gridCol w:w="544"/>
        <w:gridCol w:w="116"/>
        <w:gridCol w:w="109"/>
        <w:gridCol w:w="109"/>
        <w:gridCol w:w="109"/>
        <w:gridCol w:w="382"/>
        <w:gridCol w:w="927"/>
        <w:gridCol w:w="281"/>
      </w:tblGrid>
      <w:tr>
        <w:trPr/>
        <w:tc>
          <w:tcPr>
            <w:tcW w:w="1168"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927"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88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 net</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Leases</w:t>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4.7 </w:t>
            </w:r>
          </w:p>
        </w:tc>
        <w:tc>
          <w:tcPr>
            <w:tcW w:w="28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4"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liabilities</w:t>
            </w:r>
          </w:p>
        </w:tc>
        <w:tc>
          <w:tcPr>
            <w:tcW w:w="224"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76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09"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2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Lease expense.</w:t>
      </w:r>
      <w:r>
        <w:rPr>
          <w:color w:val="000000"/>
        </w:rPr>
        <w:t xml:space="preserve"> </w:t>
      </w:r>
      <w:r>
        <w:rPr>
          <w:rFonts w:ascii="Times New Roman;sans-serif" w:hAnsi="Times New Roman;sans-serif"/>
          <w:b w:val="false"/>
          <w:color w:val="000000"/>
          <w:sz w:val="20"/>
        </w:rPr>
        <w:t>Our operating lease expense, net totaled $3.8 million and $3.5 million for the three months ended March 31, 2023 and 2022. Our finance lease expense totaled $0.8 million and $0.9 million for the three months ended March 31, 2023 and 2022.</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Other.</w:t>
      </w:r>
      <w:r>
        <w:rPr>
          <w:color w:val="000000"/>
        </w:rPr>
        <w:t xml:space="preserve"> </w:t>
      </w:r>
      <w:r>
        <w:rPr>
          <w:rFonts w:ascii="Times New Roman;sans-serif" w:hAnsi="Times New Roman;sans-serif"/>
          <w:b w:val="false"/>
          <w:color w:val="000000"/>
          <w:sz w:val="20"/>
        </w:rPr>
        <w:t>In March 2022, we exercised an option to purchase crude oil railcars under certain of our finance leases as a result of our plan to exit our crude oil railcar operations. During the three months ended March 31, 2022, we recognized a loss on long-lived assets of approximately $4.0 million related to our anticipated sale of these crude oil railcars.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11 – Partners’ Capital and Non-Controlling Partner</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Common Units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 2022, we completed the merger with Oasis Midstream. Pursuant to the merger agreement, Chord received cash and approximately 20.9 million newly issued CEQP common units in exchange for its common units held in Oasis Midstream. In addition, Oasis Midstream’s public unitholders received approximately 12.9 million newly issued CEQP common units in exchange for the Oasis Midstream common units held by them. For a further discussion of the merger with Oasis Midstream, see Note 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Distributions</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Crestwood Equity</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Limited Partners.</w:t>
      </w:r>
      <w:r>
        <w:rPr>
          <w:color w:val="000000"/>
        </w:rPr>
        <w:t xml:space="preserve"> </w:t>
      </w:r>
      <w:r>
        <w:rPr>
          <w:rFonts w:ascii="Times New Roman;sans-serif" w:hAnsi="Times New Roman;sans-serif"/>
          <w:b w:val="false"/>
          <w:color w:val="000000"/>
          <w:sz w:val="20"/>
        </w:rPr>
        <w:t>A summary of CEQP’s limited partner quarterly cash distributions for the three months ended March 31, 2023 and 2022 is presented below:</w:t>
      </w:r>
    </w:p>
    <w:tbl>
      <w:tblPr>
        <w:tblW w:w="6844" w:type="dxa"/>
        <w:jc w:val="left"/>
        <w:tblInd w:w="0" w:type="dxa"/>
        <w:tblCellMar>
          <w:top w:w="28" w:type="dxa"/>
          <w:left w:w="28" w:type="dxa"/>
          <w:bottom w:w="28" w:type="dxa"/>
          <w:right w:w="28" w:type="dxa"/>
        </w:tblCellMar>
      </w:tblPr>
      <w:tblGrid>
        <w:gridCol w:w="543"/>
        <w:gridCol w:w="477"/>
        <w:gridCol w:w="479"/>
        <w:gridCol w:w="109"/>
        <w:gridCol w:w="109"/>
        <w:gridCol w:w="109"/>
        <w:gridCol w:w="529"/>
        <w:gridCol w:w="529"/>
        <w:gridCol w:w="532"/>
        <w:gridCol w:w="109"/>
        <w:gridCol w:w="109"/>
        <w:gridCol w:w="109"/>
        <w:gridCol w:w="260"/>
        <w:gridCol w:w="760"/>
        <w:gridCol w:w="134"/>
        <w:gridCol w:w="109"/>
        <w:gridCol w:w="109"/>
        <w:gridCol w:w="109"/>
        <w:gridCol w:w="390"/>
        <w:gridCol w:w="945"/>
        <w:gridCol w:w="285"/>
      </w:tblGrid>
      <w:tr>
        <w:trPr/>
        <w:tc>
          <w:tcPr>
            <w:tcW w:w="543" w:type="dxa"/>
            <w:tcBorders/>
            <w:shd w:fill="auto" w:val="clear"/>
            <w:vAlign w:val="center"/>
          </w:tcPr>
          <w:p>
            <w:pPr>
              <w:pStyle w:val="TableContents"/>
              <w:spacing w:before="0" w:after="283"/>
              <w:rPr>
                <w:sz w:val="4"/>
                <w:szCs w:val="4"/>
              </w:rPr>
            </w:pPr>
            <w:r>
              <w:rPr>
                <w:sz w:val="4"/>
                <w:szCs w:val="4"/>
              </w:rPr>
            </w:r>
          </w:p>
        </w:tc>
        <w:tc>
          <w:tcPr>
            <w:tcW w:w="477"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2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0" w:type="dxa"/>
            <w:tcBorders/>
            <w:shd w:fill="auto" w:val="clear"/>
            <w:vAlign w:val="center"/>
          </w:tcPr>
          <w:p>
            <w:pPr>
              <w:pStyle w:val="TableContents"/>
              <w:spacing w:before="0" w:after="283"/>
              <w:rPr>
                <w:sz w:val="4"/>
                <w:szCs w:val="4"/>
              </w:rPr>
            </w:pPr>
            <w:r>
              <w:rPr>
                <w:sz w:val="4"/>
                <w:szCs w:val="4"/>
              </w:rPr>
            </w:r>
          </w:p>
        </w:tc>
        <w:tc>
          <w:tcPr>
            <w:tcW w:w="760" w:type="dxa"/>
            <w:tcBorders/>
            <w:shd w:fill="auto" w:val="clear"/>
            <w:vAlign w:val="center"/>
          </w:tcPr>
          <w:p>
            <w:pPr>
              <w:pStyle w:val="TableContents"/>
              <w:spacing w:before="0" w:after="283"/>
              <w:rPr>
                <w:sz w:val="4"/>
                <w:szCs w:val="4"/>
              </w:rPr>
            </w:pPr>
            <w:r>
              <w:rPr>
                <w:sz w:val="4"/>
                <w:szCs w:val="4"/>
              </w:rPr>
            </w:r>
          </w:p>
        </w:tc>
        <w:tc>
          <w:tcPr>
            <w:tcW w:w="13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 Unit Rate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Cash Distributions</w:t>
            </w:r>
          </w:p>
          <w:p>
            <w:pPr>
              <w:pStyle w:val="TableContents"/>
              <w:spacing w:lineRule="auto" w:line="240" w:before="0" w:after="0"/>
              <w:jc w:val="center"/>
              <w:rPr/>
            </w:pPr>
            <w:r>
              <w:rPr>
                <w:rFonts w:ascii="Times New Roman;sans-serif" w:hAnsi="Times New Roman;sans-serif"/>
                <w:b/>
                <w:color w:val="000000"/>
                <w:sz w:val="18"/>
              </w:rPr>
              <w:t>(</w:t>
            </w:r>
            <w:r>
              <w:rPr>
                <w:rFonts w:ascii="Times New Roman;sans-serif" w:hAnsi="Times New Roman;sans-serif"/>
                <w:b/>
                <w:i/>
                <w:color w:val="000000"/>
                <w:sz w:val="18"/>
              </w:rPr>
              <w:t>in millions</w:t>
            </w:r>
            <w:r>
              <w:rPr>
                <w:rFonts w:ascii="Times New Roman;sans-serif" w:hAnsi="Times New Roman;sans-serif"/>
                <w:b/>
                <w:color w:val="000000"/>
                <w:sz w:val="18"/>
              </w:rPr>
              <w:t>)</w:t>
            </w:r>
          </w:p>
        </w:tc>
      </w:tr>
      <w:tr>
        <w:trPr/>
        <w:tc>
          <w:tcPr>
            <w:tcW w:w="14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0.655 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2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7,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14,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0.625 </w:t>
            </w:r>
          </w:p>
        </w:tc>
        <w:tc>
          <w:tcPr>
            <w:tcW w:w="13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60.9 </w:t>
            </w:r>
          </w:p>
        </w:tc>
        <w:tc>
          <w:tcPr>
            <w:tcW w:w="28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r>
        <w:trPr/>
        <w:tc>
          <w:tcPr>
            <w:tcW w:w="14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9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On April 20, 2023,</w:t>
      </w:r>
      <w:r>
        <w:rPr>
          <w:color w:val="FF0000"/>
        </w:rPr>
        <w:t xml:space="preserve"> </w:t>
      </w:r>
      <w:r>
        <w:rPr>
          <w:rFonts w:ascii="Times New Roman;sans-serif" w:hAnsi="Times New Roman;sans-serif"/>
          <w:b w:val="false"/>
          <w:color w:val="000000"/>
          <w:sz w:val="20"/>
        </w:rPr>
        <w:t xml:space="preserve">we declared a distribution of $0.655 per limited partner unit to be paid on May 15, 2023 to unitholders of record on May 8, 2023 with respect to the quarter ended March 31, 2023. </w:t>
      </w:r>
    </w:p>
    <w:p>
      <w:pPr>
        <w:pStyle w:val="HorizontalLine"/>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Preferred Unitholders</w:t>
      </w:r>
      <w:r>
        <w:rPr>
          <w:rFonts w:ascii="Times New Roman;sans-serif" w:hAnsi="Times New Roman;sans-serif"/>
          <w:b/>
          <w:i/>
          <w:color w:val="000000"/>
          <w:sz w:val="20"/>
        </w:rPr>
        <w:t xml:space="preserve">. </w:t>
      </w:r>
      <w:r>
        <w:rPr>
          <w:rFonts w:ascii="Times New Roman;sans-serif" w:hAnsi="Times New Roman;sans-serif"/>
          <w:b w:val="false"/>
          <w:color w:val="000000"/>
          <w:sz w:val="20"/>
        </w:rPr>
        <w:t>During the three months ended March 31, 2023 and 2022, we paid cash distributions to our preferred unitholders of approximately $15 million in both periods. On April 20, 2023, the board of directors of our general partner authorized a cash distribution to our preferred unitholders of approximately $15 million with respect to the quarter ended March 31, 2023.</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Crestwood Midstream</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and 2022, Crestwood Midstream paid cash distributions of $85.9 million and $238.1 million to its partners.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1, 2022, Crestwood Midstream received a non-cash contribution of approximately $1,075.1 million from Crestwood Equity related to net assets it acquired in conjunction with the merger with Oasis Midstream. In addition, on February 1, 2022, Crestwood Equity contributed cash acquired in conjunction with the merger with Oasis Midstream of approximately $14.9 million to Crestwood Midstream.</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Non-Controlling Partner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Crestwood Niobrara LLC (Crestwood Niobrara) issued preferred interests to CN Jackalope Holdings LLC (Jackalope Holdings), which are reflected as non-controlling interest in subsidiary apart from partners’ capital (i.e., temporary equity) on our consolidated balance sheets. We adjust the carrying amount of our non-controlling interest to its redemption value each period through net income attributable to non-controlling partner.</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tables show the change in our non-controlling interest in subsidiary at March 31, 2023 and 2022</w:t>
      </w:r>
      <w:r>
        <w:rPr>
          <w:color w:val="000000"/>
        </w:rPr>
        <w:t xml:space="preserve">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p>
      <w:pPr>
        <w:pStyle w:val="TextBody"/>
        <w:spacing w:before="0" w:after="0"/>
        <w:rPr/>
      </w:pPr>
      <w:r>
        <w:rPr/>
      </w:r>
    </w:p>
    <w:tbl>
      <w:tblPr>
        <w:tblW w:w="5508" w:type="dxa"/>
        <w:jc w:val="left"/>
        <w:tblInd w:w="0" w:type="dxa"/>
        <w:tblCellMar>
          <w:top w:w="28" w:type="dxa"/>
          <w:left w:w="28" w:type="dxa"/>
          <w:bottom w:w="28" w:type="dxa"/>
          <w:right w:w="28" w:type="dxa"/>
        </w:tblCellMar>
      </w:tblPr>
      <w:tblGrid>
        <w:gridCol w:w="1522"/>
        <w:gridCol w:w="1337"/>
        <w:gridCol w:w="1341"/>
        <w:gridCol w:w="109"/>
        <w:gridCol w:w="109"/>
        <w:gridCol w:w="109"/>
        <w:gridCol w:w="211"/>
        <w:gridCol w:w="616"/>
        <w:gridCol w:w="154"/>
      </w:tblGrid>
      <w:tr>
        <w:trPr/>
        <w:tc>
          <w:tcPr>
            <w:tcW w:w="1522" w:type="dxa"/>
            <w:tcBorders/>
            <w:shd w:fill="auto" w:val="clear"/>
            <w:vAlign w:val="center"/>
          </w:tcPr>
          <w:p>
            <w:pPr>
              <w:pStyle w:val="TableContents"/>
              <w:spacing w:before="0" w:after="283"/>
              <w:rPr>
                <w:sz w:val="4"/>
                <w:szCs w:val="4"/>
              </w:rPr>
            </w:pPr>
            <w:r>
              <w:rPr>
                <w:sz w:val="4"/>
                <w:szCs w:val="4"/>
              </w:rPr>
            </w:r>
          </w:p>
        </w:tc>
        <w:tc>
          <w:tcPr>
            <w:tcW w:w="1337" w:type="dxa"/>
            <w:tcBorders/>
            <w:shd w:fill="auto" w:val="clear"/>
            <w:vAlign w:val="center"/>
          </w:tcPr>
          <w:p>
            <w:pPr>
              <w:pStyle w:val="TableContents"/>
              <w:spacing w:before="0" w:after="283"/>
              <w:rPr>
                <w:sz w:val="4"/>
                <w:szCs w:val="4"/>
              </w:rPr>
            </w:pPr>
            <w:r>
              <w:rPr>
                <w:sz w:val="4"/>
                <w:szCs w:val="4"/>
              </w:rPr>
            </w:r>
          </w:p>
        </w:tc>
        <w:tc>
          <w:tcPr>
            <w:tcW w:w="1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partner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partner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5507" w:type="dxa"/>
        <w:jc w:val="center"/>
        <w:tblInd w:w="0" w:type="dxa"/>
        <w:tblCellMar>
          <w:top w:w="28" w:type="dxa"/>
          <w:left w:w="28" w:type="dxa"/>
          <w:bottom w:w="28" w:type="dxa"/>
          <w:right w:w="28" w:type="dxa"/>
        </w:tblCellMar>
      </w:tblPr>
      <w:tblGrid>
        <w:gridCol w:w="1520"/>
        <w:gridCol w:w="1336"/>
        <w:gridCol w:w="1343"/>
        <w:gridCol w:w="109"/>
        <w:gridCol w:w="109"/>
        <w:gridCol w:w="109"/>
        <w:gridCol w:w="211"/>
        <w:gridCol w:w="616"/>
        <w:gridCol w:w="154"/>
      </w:tblGrid>
      <w:tr>
        <w:trPr/>
        <w:tc>
          <w:tcPr>
            <w:tcW w:w="1520" w:type="dxa"/>
            <w:tcBorders/>
            <w:shd w:fill="auto" w:val="clear"/>
            <w:vAlign w:val="center"/>
          </w:tcPr>
          <w:p>
            <w:pPr>
              <w:pStyle w:val="TableContents"/>
              <w:spacing w:before="0" w:after="283"/>
              <w:rPr>
                <w:sz w:val="4"/>
                <w:szCs w:val="4"/>
              </w:rPr>
            </w:pPr>
            <w:r>
              <w:rPr>
                <w:sz w:val="4"/>
                <w:szCs w:val="4"/>
              </w:rPr>
            </w:r>
          </w:p>
        </w:tc>
        <w:tc>
          <w:tcPr>
            <w:tcW w:w="1336" w:type="dxa"/>
            <w:tcBorders/>
            <w:shd w:fill="auto" w:val="clear"/>
            <w:vAlign w:val="center"/>
          </w:tcPr>
          <w:p>
            <w:pPr>
              <w:pStyle w:val="TableContents"/>
              <w:spacing w:before="0" w:after="283"/>
              <w:rPr>
                <w:sz w:val="4"/>
                <w:szCs w:val="4"/>
              </w:rPr>
            </w:pPr>
            <w:r>
              <w:rPr>
                <w:sz w:val="4"/>
                <w:szCs w:val="4"/>
              </w:rPr>
            </w:r>
          </w:p>
        </w:tc>
        <w:tc>
          <w:tcPr>
            <w:tcW w:w="134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at December 31, 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partner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partner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Balance at March 31, 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April 2023, Crestwood Niobrara paid a cash distribution of approximately $10.3 million to Jackalope Holdings with respect to the quarter ended March 31, 2023.</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February 2023, Crestwood Equity issued 245,929 performance units (the February 2023 Units) under the Crestwood Equity Partners LP 2018 Long-Term Incentive Plan (Crestwood LTIP). The performance units are designed to provide an incentive for continuous employment to certain key employees. The vesting of performance units is subject to the attainment of certain performance and market goals over a three-year period, and entitle a participant to receive common units of Crestwood Equity without payment of an exercise price upon vesting. As of March 31, 2023, we had total unamortized compensation expense of approximately $5.7 million related to the February 2023 Units. During the three months ended March 31, 2023, we recognized compensation expense of $0.4 million related to the February 2023 Units, which is included in general and administrative expenses on our consolidated statements of operations.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2023, 161,278 performance units that were previously issued in 2020 under the Crestwood LTIP vested, and as a result of the attainment of certain performance and market goals and related distributions during the three years that the awards were outstanding, we issued 217,702 common units during the three months ended March 31, 2023 related to those performance units.</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Note 12 - Earnings Per Limited Partner Unit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calculate the dilutive effect of the preferred units and Crestwood Niobrara preferred units using the if-converted method which assumes units are converted at the beginning of the period (beginning with their respective issuance date), and the resulting common units are included in the denominator of the diluted net income per common unit calculation for the period being presented. Distributions declared in the period and undeclared distributions that accumulated during the period are added back to the numerator for purposes of the if-converted calculation. The dilutive effect of the stock-based compensation performance units is calculated using the treasury stock method which considers the impact to net income or loss attributable to Crestwood Equity Partners and limited partner units from the potential issuance of limited partner units.</w:t>
      </w:r>
    </w:p>
    <w:p>
      <w:pPr>
        <w:pStyle w:val="TextBody"/>
        <w:spacing w:before="0" w:after="0"/>
        <w:rPr/>
      </w:pPr>
      <w:r>
        <w:rPr/>
      </w:r>
    </w:p>
    <w:p>
      <w:pPr>
        <w:pStyle w:val="TextBody"/>
        <w:spacing w:lineRule="auto" w:line="288" w:before="0" w:after="300"/>
        <w:rPr/>
      </w:pPr>
      <w:r>
        <w:rPr>
          <w:rFonts w:ascii="Times New Roman;sans-serif" w:hAnsi="Times New Roman;sans-serif"/>
          <w:b w:val="false"/>
          <w:color w:val="000000"/>
          <w:sz w:val="20"/>
        </w:rPr>
        <w:t xml:space="preserve">We exclude potentially dilutive securities from the determination of diluted earnings per unit (as well as their related income statement impacts) when their impact is anti-dilutive. The following table summarizes information regarding the weighted-average of common units excluded during the three months ended March 31, 2023 and 2022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6768" w:type="dxa"/>
        <w:jc w:val="center"/>
        <w:tblInd w:w="0" w:type="dxa"/>
        <w:tblCellMar>
          <w:top w:w="28" w:type="dxa"/>
          <w:left w:w="28" w:type="dxa"/>
          <w:bottom w:w="28" w:type="dxa"/>
          <w:right w:w="28" w:type="dxa"/>
        </w:tblCellMar>
      </w:tblPr>
      <w:tblGrid>
        <w:gridCol w:w="1394"/>
        <w:gridCol w:w="1227"/>
        <w:gridCol w:w="1233"/>
        <w:gridCol w:w="109"/>
        <w:gridCol w:w="109"/>
        <w:gridCol w:w="250"/>
        <w:gridCol w:w="250"/>
        <w:gridCol w:w="250"/>
        <w:gridCol w:w="250"/>
        <w:gridCol w:w="250"/>
        <w:gridCol w:w="250"/>
        <w:gridCol w:w="250"/>
        <w:gridCol w:w="109"/>
        <w:gridCol w:w="109"/>
        <w:gridCol w:w="109"/>
        <w:gridCol w:w="203"/>
        <w:gridCol w:w="203"/>
        <w:gridCol w:w="213"/>
      </w:tblGrid>
      <w:tr>
        <w:trPr/>
        <w:tc>
          <w:tcPr>
            <w:tcW w:w="1394" w:type="dxa"/>
            <w:tcBorders/>
            <w:shd w:fill="auto" w:val="clear"/>
            <w:vAlign w:val="center"/>
          </w:tcPr>
          <w:p>
            <w:pPr>
              <w:pStyle w:val="TableContents"/>
              <w:spacing w:before="0" w:after="283"/>
              <w:rPr>
                <w:sz w:val="4"/>
                <w:szCs w:val="4"/>
              </w:rPr>
            </w:pPr>
            <w:r>
              <w:rPr>
                <w:sz w:val="4"/>
                <w:szCs w:val="4"/>
              </w:rPr>
            </w:r>
          </w:p>
        </w:tc>
        <w:tc>
          <w:tcPr>
            <w:tcW w:w="1227" w:type="dxa"/>
            <w:tcBorders/>
            <w:shd w:fill="auto" w:val="clear"/>
            <w:vAlign w:val="center"/>
          </w:tcPr>
          <w:p>
            <w:pPr>
              <w:pStyle w:val="TableContents"/>
              <w:spacing w:before="0" w:after="283"/>
              <w:rPr>
                <w:sz w:val="4"/>
                <w:szCs w:val="4"/>
              </w:rPr>
            </w:pPr>
            <w:r>
              <w:rPr>
                <w:sz w:val="4"/>
                <w:szCs w:val="4"/>
              </w:rPr>
            </w:r>
          </w:p>
        </w:tc>
        <w:tc>
          <w:tcPr>
            <w:tcW w:w="1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946" w:type="dxa"/>
            <w:gridSpan w:val="6"/>
            <w:tcBorders/>
            <w:shd w:fill="auto" w:val="clea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0"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946" w:type="dxa"/>
            <w:gridSpan w:val="6"/>
            <w:tcBorders/>
            <w:shd w:fill="auto" w:val="clear"/>
          </w:tcPr>
          <w:p>
            <w:pPr>
              <w:pStyle w:val="TableContents"/>
              <w:spacing w:before="0" w:after="283"/>
              <w:rPr>
                <w:sz w:val="4"/>
                <w:szCs w:val="4"/>
              </w:rPr>
            </w:pPr>
            <w:r>
              <w:rPr>
                <w:sz w:val="4"/>
                <w:szCs w:val="4"/>
              </w:rPr>
            </w:r>
          </w:p>
        </w:tc>
      </w:tr>
      <w:tr>
        <w:trPr/>
        <w:tc>
          <w:tcPr>
            <w:tcW w:w="385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Preferred units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Crestwood Niobrara’s preferred units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2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85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Unit-based compensation performance units</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7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8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(1)For additional information regarding the potential conversion/redemption of our preferred units and Crestwood Niobrara’s preferred units to CEQP common units, and additional information regarding our performance units, see our 2022 Annual Report on Form 10-K.</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shows Crestwood Equity’s common unitholders’ interest in net income (loss) and weighted-average limited partner units used in computing basic and diluted net income (loss) per limited partner unit for the three months ended March 31, 2023 and 2022 </w:t>
      </w:r>
      <w:r>
        <w:rPr>
          <w:rFonts w:ascii="Times New Roman;sans-serif" w:hAnsi="Times New Roman;sans-serif"/>
          <w:b w:val="false"/>
          <w:i/>
          <w:color w:val="000000"/>
          <w:sz w:val="20"/>
        </w:rPr>
        <w:t>(in millions, except for per unit data):</w:t>
      </w:r>
    </w:p>
    <w:p>
      <w:pPr>
        <w:pStyle w:val="TextBody"/>
        <w:spacing w:before="0" w:after="0"/>
        <w:rPr/>
      </w:pPr>
      <w:r>
        <w:rPr/>
      </w:r>
    </w:p>
    <w:tbl>
      <w:tblPr>
        <w:tblW w:w="8549" w:type="dxa"/>
        <w:jc w:val="left"/>
        <w:tblInd w:w="0" w:type="dxa"/>
        <w:tblCellMar>
          <w:top w:w="28" w:type="dxa"/>
          <w:left w:w="28" w:type="dxa"/>
          <w:bottom w:w="28" w:type="dxa"/>
          <w:right w:w="28" w:type="dxa"/>
        </w:tblCellMar>
      </w:tblPr>
      <w:tblGrid>
        <w:gridCol w:w="1878"/>
        <w:gridCol w:w="1653"/>
        <w:gridCol w:w="1658"/>
        <w:gridCol w:w="109"/>
        <w:gridCol w:w="109"/>
        <w:gridCol w:w="109"/>
        <w:gridCol w:w="151"/>
        <w:gridCol w:w="151"/>
        <w:gridCol w:w="151"/>
        <w:gridCol w:w="151"/>
        <w:gridCol w:w="292"/>
        <w:gridCol w:w="708"/>
        <w:gridCol w:w="151"/>
        <w:gridCol w:w="109"/>
        <w:gridCol w:w="109"/>
        <w:gridCol w:w="109"/>
        <w:gridCol w:w="211"/>
        <w:gridCol w:w="586"/>
        <w:gridCol w:w="154"/>
      </w:tblGrid>
      <w:tr>
        <w:trPr/>
        <w:tc>
          <w:tcPr>
            <w:tcW w:w="1878" w:type="dxa"/>
            <w:tcBorders/>
            <w:shd w:fill="auto" w:val="clear"/>
            <w:vAlign w:val="center"/>
          </w:tcPr>
          <w:p>
            <w:pPr>
              <w:pStyle w:val="TableContents"/>
              <w:spacing w:before="0" w:after="283"/>
              <w:rPr>
                <w:sz w:val="4"/>
                <w:szCs w:val="4"/>
              </w:rPr>
            </w:pPr>
            <w:r>
              <w:rPr>
                <w:sz w:val="4"/>
                <w:szCs w:val="4"/>
              </w:rPr>
            </w:r>
          </w:p>
        </w:tc>
        <w:tc>
          <w:tcPr>
            <w:tcW w:w="1653" w:type="dxa"/>
            <w:tcBorders/>
            <w:shd w:fill="auto" w:val="clear"/>
            <w:vAlign w:val="center"/>
          </w:tcPr>
          <w:p>
            <w:pPr>
              <w:pStyle w:val="TableContents"/>
              <w:spacing w:before="0" w:after="283"/>
              <w:rPr>
                <w:sz w:val="4"/>
                <w:szCs w:val="4"/>
              </w:rPr>
            </w:pPr>
            <w:r>
              <w:rPr>
                <w:sz w:val="4"/>
                <w:szCs w:val="4"/>
              </w:rPr>
            </w:r>
          </w:p>
        </w:tc>
        <w:tc>
          <w:tcPr>
            <w:tcW w:w="16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center"/>
          </w:tcPr>
          <w:p>
            <w:pPr>
              <w:pStyle w:val="TableContents"/>
              <w:spacing w:before="0" w:after="283"/>
              <w:rPr>
                <w:sz w:val="4"/>
                <w:szCs w:val="4"/>
              </w:rPr>
            </w:pPr>
            <w:r>
              <w:rPr>
                <w:sz w:val="4"/>
                <w:szCs w:val="4"/>
              </w:rPr>
            </w:r>
          </w:p>
        </w:tc>
        <w:tc>
          <w:tcPr>
            <w:tcW w:w="708"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278" w:type="dxa"/>
            <w:gridSpan w:val="6"/>
            <w:tcBorders/>
            <w:shd w:fill="auto" w:val="clea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5"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278" w:type="dxa"/>
            <w:gridSpan w:val="6"/>
            <w:tcBorders/>
            <w:shd w:fill="auto" w:val="clear"/>
          </w:tcPr>
          <w:p>
            <w:pPr>
              <w:pStyle w:val="TableContents"/>
              <w:spacing w:before="0" w:after="283"/>
              <w:rPr>
                <w:sz w:val="4"/>
                <w:szCs w:val="4"/>
              </w:rPr>
            </w:pPr>
            <w:r>
              <w:rPr>
                <w:sz w:val="4"/>
                <w:szCs w:val="4"/>
              </w:rPr>
            </w:r>
          </w:p>
        </w:tc>
      </w:tr>
      <w:tr>
        <w:trPr/>
        <w:tc>
          <w:tcPr>
            <w:tcW w:w="518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unitholders’ interest in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net income (loss)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limited partners’ units outstanding - 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51" w:type="dxa"/>
            <w:gridSpan w:val="3"/>
            <w:tcBorders/>
            <w:shd w:fill="auto" w:val="cle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Crestwood Niobrara preferred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Dilutive effect of unit-based compensation performance units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limited partners’ units outstanding - 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109.8 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per limited partner unit: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0.15 </w:t>
            </w:r>
          </w:p>
        </w:tc>
        <w:tc>
          <w:tcPr>
            <w:tcW w:w="1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13 – Segments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statements reflect three operating and reporting segments: (i) gathering and processing north operations; (ii) gathering and processing south operations; and (iii) storage and logistics operations. Our corporate operations include all general and administrative expenses that are not allocated to our reportable segments.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Below is a description of our operating and reporting segments.</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Gathering and Processing North</w:t>
      </w:r>
      <w:r>
        <w:rPr>
          <w:rFonts w:ascii="Times New Roman;sans-serif" w:hAnsi="Times New Roman;sans-serif"/>
          <w:b w:val="false"/>
          <w:color w:val="000000"/>
          <w:sz w:val="20"/>
        </w:rPr>
        <w:t>. Our gathering and processing north operations provide natural gas gathering, compression, treating and processing services, crude oil gathering and storage services and produced water gathering and disposal services to producers in the Williston Basin and Powder River Basin.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Gathering and Processing South</w:t>
      </w:r>
      <w:r>
        <w:rPr>
          <w:rFonts w:ascii="Times New Roman;sans-serif" w:hAnsi="Times New Roman;sans-serif"/>
          <w:b w:val="false"/>
          <w:color w:val="000000"/>
          <w:sz w:val="20"/>
        </w:rPr>
        <w:t>. Our gathering and processing south operations provide natural gas gathering, compression, treating and processing services, crude oil gathering services and produced water gathering and disposal services to producers in the Delaware Basin.</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i/>
          <w:color w:val="000000"/>
          <w:sz w:val="20"/>
        </w:rPr>
        <w:t>Storage and Logistics</w:t>
      </w:r>
      <w:r>
        <w:rPr>
          <w:rFonts w:ascii="Times New Roman;sans-serif" w:hAnsi="Times New Roman;sans-serif"/>
          <w:b w:val="false"/>
          <w:color w:val="000000"/>
          <w:sz w:val="20"/>
        </w:rPr>
        <w:t>. Our storage and logistics operations provide NGLs, crude oil and natural gas storage, terminal, marketing and transportation (including rail, truck and pipeline) services to producers, refiners, marketers, utilities and other customers.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We assess the performance of our operating segments based on EBITDA, which is identified as income before income taxes, plus debt-related costs (net interest and debt expense) and depreciation, amortization and accretion expense. Below is a reconciliation of CEQP’s and CMLP’s net income to EBITDA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10205" w:type="dxa"/>
        <w:jc w:val="center"/>
        <w:tblInd w:w="0" w:type="dxa"/>
        <w:tblCellMar>
          <w:top w:w="28" w:type="dxa"/>
          <w:left w:w="28" w:type="dxa"/>
          <w:bottom w:w="28" w:type="dxa"/>
          <w:right w:w="28" w:type="dxa"/>
        </w:tblCellMar>
      </w:tblPr>
      <w:tblGrid>
        <w:gridCol w:w="1016"/>
        <w:gridCol w:w="847"/>
        <w:gridCol w:w="852"/>
        <w:gridCol w:w="109"/>
        <w:gridCol w:w="109"/>
        <w:gridCol w:w="135"/>
        <w:gridCol w:w="135"/>
        <w:gridCol w:w="135"/>
        <w:gridCol w:w="135"/>
        <w:gridCol w:w="262"/>
        <w:gridCol w:w="766"/>
        <w:gridCol w:w="135"/>
        <w:gridCol w:w="109"/>
        <w:gridCol w:w="109"/>
        <w:gridCol w:w="109"/>
        <w:gridCol w:w="211"/>
        <w:gridCol w:w="616"/>
        <w:gridCol w:w="109"/>
        <w:gridCol w:w="109"/>
        <w:gridCol w:w="109"/>
        <w:gridCol w:w="109"/>
        <w:gridCol w:w="540"/>
        <w:gridCol w:w="540"/>
        <w:gridCol w:w="541"/>
        <w:gridCol w:w="109"/>
        <w:gridCol w:w="211"/>
        <w:gridCol w:w="616"/>
        <w:gridCol w:w="109"/>
        <w:gridCol w:w="109"/>
        <w:gridCol w:w="109"/>
        <w:gridCol w:w="109"/>
        <w:gridCol w:w="211"/>
        <w:gridCol w:w="616"/>
        <w:gridCol w:w="159"/>
      </w:tblGrid>
      <w:tr>
        <w:trPr/>
        <w:tc>
          <w:tcPr>
            <w:tcW w:w="1016" w:type="dxa"/>
            <w:tcBorders/>
            <w:shd w:fill="auto" w:val="clear"/>
            <w:vAlign w:val="center"/>
          </w:tcPr>
          <w:p>
            <w:pPr>
              <w:pStyle w:val="TableContents"/>
              <w:spacing w:before="0" w:after="283"/>
              <w:rPr>
                <w:sz w:val="4"/>
                <w:szCs w:val="4"/>
              </w:rPr>
            </w:pPr>
            <w:r>
              <w:rPr>
                <w:sz w:val="4"/>
                <w:szCs w:val="4"/>
              </w:rPr>
            </w:r>
          </w:p>
        </w:tc>
        <w:tc>
          <w:tcPr>
            <w:tcW w:w="847" w:type="dxa"/>
            <w:tcBorders/>
            <w:shd w:fill="auto" w:val="clear"/>
            <w:vAlign w:val="center"/>
          </w:tcPr>
          <w:p>
            <w:pPr>
              <w:pStyle w:val="TableContents"/>
              <w:spacing w:before="0" w:after="283"/>
              <w:rPr>
                <w:sz w:val="4"/>
                <w:szCs w:val="4"/>
              </w:rPr>
            </w:pPr>
            <w:r>
              <w:rPr>
                <w:sz w:val="4"/>
                <w:szCs w:val="4"/>
              </w:rPr>
            </w:r>
          </w:p>
        </w:tc>
        <w:tc>
          <w:tcPr>
            <w:tcW w:w="8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2831"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CEQP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9"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CMLP</w:t>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2358" w:type="dxa"/>
            <w:gridSpan w:val="10"/>
            <w:tcBorders/>
            <w:shd w:fill="auto" w:val="clea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2358" w:type="dxa"/>
            <w:gridSpan w:val="10"/>
            <w:tcBorders/>
            <w:shd w:fill="auto" w:val="clear"/>
          </w:tcPr>
          <w:p>
            <w:pPr>
              <w:pStyle w:val="TableContents"/>
              <w:spacing w:before="0" w:after="283"/>
              <w:rPr>
                <w:sz w:val="4"/>
                <w:szCs w:val="4"/>
              </w:rPr>
            </w:pPr>
            <w:r>
              <w:rPr>
                <w:sz w:val="4"/>
                <w:szCs w:val="4"/>
              </w:rPr>
            </w:r>
          </w:p>
        </w:tc>
      </w:tr>
      <w:tr>
        <w:trPr/>
        <w:tc>
          <w:tcPr>
            <w:tcW w:w="27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debt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auto" w:val="clear"/>
            <w:vAlign w:val="center"/>
          </w:tcPr>
          <w:p>
            <w:pPr>
              <w:pStyle w:val="TableContents"/>
              <w:spacing w:before="0" w:after="283"/>
              <w:rPr>
                <w:sz w:val="4"/>
                <w:szCs w:val="4"/>
              </w:rPr>
            </w:pPr>
            <w:r>
              <w:rPr>
                <w:sz w:val="4"/>
                <w:szCs w:val="4"/>
              </w:rPr>
            </w:r>
          </w:p>
        </w:tc>
        <w:tc>
          <w:tcPr>
            <w:tcW w:w="11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6" w:type="dxa"/>
            <w:gridSpan w:val="3"/>
            <w:tcBorders/>
            <w:shd w:fill="auto" w:val="cle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271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3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71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tables summarize CEQP’s and CMLP’s reportable segment data for the three months ended March 31, 2023 and 2022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Intersegment revenues included in the following tables are accounted for as arms-length transactions that apply our revenue recognition policy described in our 2022 Annual Report on Form 10-K. Included in earnings from unconsolidated affiliates, net reflected in the tables below was approximately $2.5 million and $4.6 million of our proportionate share of interest expense, depreciation and amortization expense and gains (losses) on long-lived assets, net recorded by our equity investments for the three months ended March 31, 2023 and 2022.</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Segment EBITDA Information</w:t>
      </w:r>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862"/>
        <w:gridCol w:w="629"/>
        <w:gridCol w:w="632"/>
        <w:gridCol w:w="385"/>
        <w:gridCol w:w="1125"/>
        <w:gridCol w:w="199"/>
        <w:gridCol w:w="109"/>
        <w:gridCol w:w="109"/>
        <w:gridCol w:w="109"/>
        <w:gridCol w:w="385"/>
        <w:gridCol w:w="1125"/>
        <w:gridCol w:w="199"/>
        <w:gridCol w:w="109"/>
        <w:gridCol w:w="109"/>
        <w:gridCol w:w="109"/>
        <w:gridCol w:w="296"/>
        <w:gridCol w:w="867"/>
        <w:gridCol w:w="153"/>
        <w:gridCol w:w="109"/>
        <w:gridCol w:w="109"/>
        <w:gridCol w:w="109"/>
        <w:gridCol w:w="211"/>
        <w:gridCol w:w="583"/>
        <w:gridCol w:w="109"/>
        <w:gridCol w:w="109"/>
        <w:gridCol w:w="109"/>
        <w:gridCol w:w="109"/>
        <w:gridCol w:w="211"/>
        <w:gridCol w:w="766"/>
        <w:gridCol w:w="160"/>
      </w:tblGrid>
      <w:tr>
        <w:trPr/>
        <w:tc>
          <w:tcPr>
            <w:tcW w:w="862" w:type="dxa"/>
            <w:tcBorders/>
            <w:shd w:fill="auto" w:val="clear"/>
            <w:vAlign w:val="center"/>
          </w:tcPr>
          <w:p>
            <w:pPr>
              <w:pStyle w:val="TableContents"/>
              <w:spacing w:before="0" w:after="283"/>
              <w:rPr>
                <w:sz w:val="4"/>
                <w:szCs w:val="4"/>
              </w:rPr>
            </w:pPr>
            <w:r>
              <w:rPr>
                <w:sz w:val="4"/>
                <w:szCs w:val="4"/>
              </w:rPr>
            </w:r>
          </w:p>
        </w:tc>
        <w:tc>
          <w:tcPr>
            <w:tcW w:w="629"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867"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82"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212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Gathering and Processing North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Gathering and Processing South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Logistics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Crestwood Midstream</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revenues, net</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Costs of product/services sold</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Operations and maintenance expense </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long-lived assets, net</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Crestwood Midstream EBITDA</w:t>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Crestwood Equity</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23"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1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212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2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Crestwood Equity EBITDA</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178.9 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120" w:after="283"/>
        <w:rPr/>
      </w:pPr>
      <w:r>
        <w:rPr/>
      </w:r>
    </w:p>
    <w:tbl>
      <w:tblPr>
        <w:tblW w:w="10205" w:type="dxa"/>
        <w:jc w:val="center"/>
        <w:tblInd w:w="0" w:type="dxa"/>
        <w:tblCellMar>
          <w:top w:w="28" w:type="dxa"/>
          <w:left w:w="28" w:type="dxa"/>
          <w:bottom w:w="28" w:type="dxa"/>
          <w:right w:w="28" w:type="dxa"/>
        </w:tblCellMar>
      </w:tblPr>
      <w:tblGrid>
        <w:gridCol w:w="855"/>
        <w:gridCol w:w="621"/>
        <w:gridCol w:w="624"/>
        <w:gridCol w:w="381"/>
        <w:gridCol w:w="1113"/>
        <w:gridCol w:w="196"/>
        <w:gridCol w:w="109"/>
        <w:gridCol w:w="109"/>
        <w:gridCol w:w="109"/>
        <w:gridCol w:w="425"/>
        <w:gridCol w:w="1032"/>
        <w:gridCol w:w="221"/>
        <w:gridCol w:w="109"/>
        <w:gridCol w:w="109"/>
        <w:gridCol w:w="109"/>
        <w:gridCol w:w="270"/>
        <w:gridCol w:w="980"/>
        <w:gridCol w:w="139"/>
        <w:gridCol w:w="109"/>
        <w:gridCol w:w="109"/>
        <w:gridCol w:w="109"/>
        <w:gridCol w:w="211"/>
        <w:gridCol w:w="583"/>
        <w:gridCol w:w="109"/>
        <w:gridCol w:w="109"/>
        <w:gridCol w:w="109"/>
        <w:gridCol w:w="109"/>
        <w:gridCol w:w="211"/>
        <w:gridCol w:w="766"/>
        <w:gridCol w:w="160"/>
      </w:tblGrid>
      <w:tr>
        <w:trPr/>
        <w:tc>
          <w:tcPr>
            <w:tcW w:w="855"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113"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5" w:type="dxa"/>
            <w:tcBorders/>
            <w:shd w:fill="auto" w:val="clear"/>
            <w:vAlign w:val="center"/>
          </w:tcPr>
          <w:p>
            <w:pPr>
              <w:pStyle w:val="TableContents"/>
              <w:spacing w:before="0" w:after="283"/>
              <w:rPr>
                <w:sz w:val="4"/>
                <w:szCs w:val="4"/>
              </w:rPr>
            </w:pPr>
            <w:r>
              <w:rPr>
                <w:sz w:val="4"/>
                <w:szCs w:val="4"/>
              </w:rPr>
            </w:r>
          </w:p>
        </w:tc>
        <w:tc>
          <w:tcPr>
            <w:tcW w:w="1032"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98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05"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Gathering and Processing North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Gathering and Processing South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Storage and Logistics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Corporate</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Crestwood Midstream</w:t>
            </w:r>
          </w:p>
        </w:tc>
        <w:tc>
          <w:tcPr>
            <w:tcW w:w="1690"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8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revenues, net</w:t>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product/services sold</w:t>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 expense</w:t>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long-lived assets, net</w:t>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w:t>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Crestwood Midstream EBITDA</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Crestwood Equity</w:t>
            </w:r>
          </w:p>
        </w:tc>
        <w:tc>
          <w:tcPr>
            <w:tcW w:w="169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7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4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4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21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Crestwood Equity EBITDA</w:t>
            </w:r>
          </w:p>
        </w:tc>
        <w:tc>
          <w:tcPr>
            <w:tcW w:w="3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Other Segment Information</w:t>
      </w:r>
    </w:p>
    <w:p>
      <w:pPr>
        <w:pStyle w:val="TextBody"/>
        <w:spacing w:before="0" w:after="0"/>
        <w:rPr/>
      </w:pPr>
      <w:r>
        <w:rPr/>
      </w:r>
    </w:p>
    <w:tbl>
      <w:tblPr>
        <w:tblW w:w="9107" w:type="dxa"/>
        <w:jc w:val="left"/>
        <w:tblInd w:w="0" w:type="dxa"/>
        <w:tblCellMar>
          <w:top w:w="28" w:type="dxa"/>
          <w:left w:w="28" w:type="dxa"/>
          <w:bottom w:w="28" w:type="dxa"/>
          <w:right w:w="28" w:type="dxa"/>
        </w:tblCellMar>
      </w:tblPr>
      <w:tblGrid>
        <w:gridCol w:w="873"/>
        <w:gridCol w:w="767"/>
        <w:gridCol w:w="774"/>
        <w:gridCol w:w="250"/>
        <w:gridCol w:w="910"/>
        <w:gridCol w:w="129"/>
        <w:gridCol w:w="109"/>
        <w:gridCol w:w="109"/>
        <w:gridCol w:w="109"/>
        <w:gridCol w:w="300"/>
        <w:gridCol w:w="1090"/>
        <w:gridCol w:w="155"/>
        <w:gridCol w:w="109"/>
        <w:gridCol w:w="109"/>
        <w:gridCol w:w="109"/>
        <w:gridCol w:w="250"/>
        <w:gridCol w:w="910"/>
        <w:gridCol w:w="129"/>
        <w:gridCol w:w="109"/>
        <w:gridCol w:w="109"/>
        <w:gridCol w:w="109"/>
        <w:gridCol w:w="296"/>
        <w:gridCol w:w="1077"/>
        <w:gridCol w:w="216"/>
      </w:tblGrid>
      <w:tr>
        <w:trPr/>
        <w:tc>
          <w:tcPr>
            <w:tcW w:w="87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4"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1090"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1"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CEQP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05"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CMLP</w:t>
            </w:r>
          </w:p>
        </w:tc>
      </w:tr>
      <w:tr>
        <w:trPr/>
        <w:tc>
          <w:tcPr>
            <w:tcW w:w="24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Total Assets</w:t>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4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and Processing North</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3,950.5 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4,003.6 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Gathering and Processing South</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1,455.9 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1,473.0 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Storage and Logistics</w:t>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15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5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7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14"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4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8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89" w:type="dxa"/>
            <w:gridSpan w:val="3"/>
            <w:tcBorders/>
            <w:shd w:fill="auto" w:val="clear"/>
            <w:vAlign w:val="center"/>
          </w:tcPr>
          <w:p>
            <w:pPr>
              <w:pStyle w:val="TableContents"/>
              <w:spacing w:before="0" w:after="283"/>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6,389.3 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6,567.0 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6,383.8 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6,561.4 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Note 14 - Revenues</w:t>
      </w:r>
      <w:r>
        <w:rPr>
          <w:color w:val="000000"/>
        </w:rPr>
        <w:t xml:space="preserve">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Contract Assets and Contract Liabilities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Our contract assets and contract liabilities are reported in a net position on a contract-by-contract basis at the end of each reporting period. Our receivables related to our revenue contracts accounted for under Accounting Standards Update 2014-09</w:t>
      </w:r>
      <w:r>
        <w:rPr>
          <w:rFonts w:ascii="Times New Roman;sans-serif" w:hAnsi="Times New Roman;sans-serif"/>
          <w:b w:val="false"/>
          <w:i/>
          <w:color w:val="000000"/>
          <w:sz w:val="20"/>
        </w:rPr>
        <w:t>, Revenue from Contracts with Customers (Topic 606)</w:t>
      </w:r>
      <w:r>
        <w:rPr>
          <w:color w:val="000000"/>
        </w:rPr>
        <w:t xml:space="preserve"> </w:t>
      </w:r>
      <w:r>
        <w:rPr>
          <w:rFonts w:ascii="Times New Roman;sans-serif" w:hAnsi="Times New Roman;sans-serif"/>
          <w:b w:val="false"/>
          <w:color w:val="000000"/>
          <w:sz w:val="20"/>
        </w:rPr>
        <w:t>totaled $340.0 million and $368.2 million at March 31, 2023 and December 31, 2022, and are included in accounts receivable on our consolidated balance sheets. Our contract assets are included in other non-current assets on our consolidated balance sheets. Our contract liabilities primarily consist of current and non-current deferred revenues. On our consolidated balance sheets, our current deferred revenues are included in accrued expenses and other liabilities and our non-current deferred revenues are included in other long-term liabilities. The majority of revenues associated with our deferred revenues is expected to be recognized as the performance obligations under the related contracts are satisfied over the next 14 years.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summarizes our contract assets and contract liabilities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6458" w:type="dxa"/>
        <w:jc w:val="left"/>
        <w:tblInd w:w="0" w:type="dxa"/>
        <w:tblCellMar>
          <w:top w:w="28" w:type="dxa"/>
          <w:left w:w="28" w:type="dxa"/>
          <w:bottom w:w="28" w:type="dxa"/>
          <w:right w:w="28" w:type="dxa"/>
        </w:tblCellMar>
      </w:tblPr>
      <w:tblGrid>
        <w:gridCol w:w="1060"/>
        <w:gridCol w:w="929"/>
        <w:gridCol w:w="935"/>
        <w:gridCol w:w="109"/>
        <w:gridCol w:w="109"/>
        <w:gridCol w:w="109"/>
        <w:gridCol w:w="291"/>
        <w:gridCol w:w="849"/>
        <w:gridCol w:w="150"/>
        <w:gridCol w:w="109"/>
        <w:gridCol w:w="109"/>
        <w:gridCol w:w="109"/>
        <w:gridCol w:w="342"/>
        <w:gridCol w:w="999"/>
        <w:gridCol w:w="249"/>
      </w:tblGrid>
      <w:tr>
        <w:trPr/>
        <w:tc>
          <w:tcPr>
            <w:tcW w:w="1060" w:type="dxa"/>
            <w:tcBorders/>
            <w:shd w:fill="auto" w:val="clear"/>
            <w:vAlign w:val="center"/>
          </w:tcPr>
          <w:p>
            <w:pPr>
              <w:pStyle w:val="TableContents"/>
              <w:spacing w:before="0" w:after="283"/>
              <w:rPr>
                <w:sz w:val="4"/>
                <w:szCs w:val="4"/>
              </w:rPr>
            </w:pPr>
            <w:r>
              <w:rPr>
                <w:sz w:val="4"/>
                <w:szCs w:val="4"/>
              </w:rPr>
            </w:r>
          </w:p>
        </w:tc>
        <w:tc>
          <w:tcPr>
            <w:tcW w:w="929" w:type="dxa"/>
            <w:tcBorders/>
            <w:shd w:fill="auto" w:val="clear"/>
            <w:vAlign w:val="center"/>
          </w:tcPr>
          <w:p>
            <w:pPr>
              <w:pStyle w:val="TableContents"/>
              <w:spacing w:before="0" w:after="283"/>
              <w:rPr>
                <w:sz w:val="4"/>
                <w:szCs w:val="4"/>
              </w:rPr>
            </w:pPr>
            <w:r>
              <w:rPr>
                <w:sz w:val="4"/>
                <w:szCs w:val="4"/>
              </w:rPr>
            </w:r>
          </w:p>
        </w:tc>
        <w:tc>
          <w:tcPr>
            <w:tcW w:w="9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999"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before="0" w:after="40"/>
              <w:ind w:left="0" w:right="0" w:hanging="225"/>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9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 (non-current)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auto" w:val="clear"/>
            <w:tcMar>
              <w:top w:w="0" w:type="dxa"/>
              <w:left w:w="0" w:type="dxa"/>
              <w:bottom w:w="0" w:type="dxa"/>
              <w:right w:w="0" w:type="dxa"/>
            </w:tcMar>
            <w:vAlign w:val="center"/>
          </w:tcPr>
          <w:p>
            <w:pPr>
              <w:pStyle w:val="TableContents"/>
              <w:spacing w:lineRule="auto" w:line="240" w:before="0" w:after="40"/>
              <w:jc w:val="left"/>
              <w:rPr/>
            </w:pPr>
            <w:r>
              <w:rPr>
                <w:rFonts w:ascii="Times New Roman;sans-serif" w:hAnsi="Times New Roman;sans-serif"/>
                <w:b w:val="false"/>
                <w:color w:val="000000"/>
                <w:sz w:val="20"/>
              </w:rPr>
              <w:t>Contract liabilities (current)</w:t>
            </w:r>
            <w:r>
              <w:rPr>
                <w:rFonts w:ascii="Times New Roman;sans-serif" w:hAnsi="Times New Roman;sans-serif"/>
                <w:b w:val="false"/>
                <w:color w:val="000000"/>
                <w:sz w:val="13"/>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24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924"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pPr>
            <w:r>
              <w:rPr>
                <w:rFonts w:ascii="Times New Roman;sans-serif" w:hAnsi="Times New Roman;sans-serif"/>
                <w:b w:val="false"/>
                <w:color w:val="000000"/>
                <w:sz w:val="20"/>
              </w:rPr>
              <w:t>Contract liabilities (non-current)</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205.9 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212.3 </w:t>
            </w:r>
          </w:p>
        </w:tc>
        <w:tc>
          <w:tcPr>
            <w:tcW w:w="24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(1)During the three months ended March 31, 2023, we recognized revenues of approximately $8.0 million that were previously included in contract liabilities at December 31, 2022. The remaining change in our contract liabilities during the three months ended March 31, 2023 related to capital reimbursements associated with our revenue contracts and revenue deferrals associated with our contracts with increasing (decreasing) rates.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The following table summarizes the transaction price allocated to our remaining performance obligations under certain contracts that have not been recognized as of March 31, 2023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2556" w:type="dxa"/>
        <w:jc w:val="center"/>
        <w:tblInd w:w="0" w:type="dxa"/>
        <w:tblCellMar>
          <w:top w:w="28" w:type="dxa"/>
          <w:left w:w="28" w:type="dxa"/>
          <w:bottom w:w="28" w:type="dxa"/>
          <w:right w:w="28" w:type="dxa"/>
        </w:tblCellMar>
      </w:tblPr>
      <w:tblGrid>
        <w:gridCol w:w="608"/>
        <w:gridCol w:w="534"/>
        <w:gridCol w:w="538"/>
        <w:gridCol w:w="211"/>
        <w:gridCol w:w="511"/>
        <w:gridCol w:w="154"/>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8"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Remainder of 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remaining performance obligations presented in the table above exclude estimates of variable rate escalation clauses in our contracts with customers, and is generally limited to fixed-fee and percentage-of-proceeds service contracts which have fixed pricing and minimum volume terms and conditions. Our remaining performance obligations generally exclude, based on the following practical expedients that we elected to apply, disclosures for (i) variable consideration allocated to a wholly-unsatisfied promise to transfer a distinct service that forms part of the identified single performance obligation; (ii) unsatisfied performance obligations where the contract term is one year or less; and (iii) contracts for which we recognize revenues as amounts are invoiced.</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Disaggregation of Revenues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tables summarize our revenues from contracts with customers disaggregated by type of product/service sold and by commodity type for each of our segments for the three months ended March 31, 2023 and 2022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We believe this summary best depicts how the nature, amount, timing and uncertainty of our revenues and cash flows are affected by economic factors. Our non-</w:t>
      </w:r>
      <w:r>
        <w:rPr>
          <w:rFonts w:ascii="Times New Roman;sans-serif" w:hAnsi="Times New Roman;sans-serif"/>
          <w:b w:val="false"/>
          <w:i/>
          <w:color w:val="000000"/>
          <w:sz w:val="20"/>
        </w:rPr>
        <w:t>Topic 606</w:t>
      </w:r>
      <w:r>
        <w:rPr>
          <w:color w:val="000000"/>
        </w:rPr>
        <w:t xml:space="preserve"> </w:t>
      </w:r>
      <w:r>
        <w:rPr>
          <w:rFonts w:ascii="Times New Roman;sans-serif" w:hAnsi="Times New Roman;sans-serif"/>
          <w:b w:val="false"/>
          <w:color w:val="000000"/>
          <w:sz w:val="20"/>
        </w:rPr>
        <w:t>revenues presented in the tables below primarily represents revenues related to our commodity-based derivatives.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616"/>
        <w:gridCol w:w="403"/>
        <w:gridCol w:w="383"/>
        <w:gridCol w:w="389"/>
        <w:gridCol w:w="1138"/>
        <w:gridCol w:w="201"/>
        <w:gridCol w:w="109"/>
        <w:gridCol w:w="109"/>
        <w:gridCol w:w="109"/>
        <w:gridCol w:w="389"/>
        <w:gridCol w:w="1138"/>
        <w:gridCol w:w="201"/>
        <w:gridCol w:w="109"/>
        <w:gridCol w:w="109"/>
        <w:gridCol w:w="109"/>
        <w:gridCol w:w="298"/>
        <w:gridCol w:w="873"/>
        <w:gridCol w:w="154"/>
        <w:gridCol w:w="109"/>
        <w:gridCol w:w="109"/>
        <w:gridCol w:w="109"/>
        <w:gridCol w:w="348"/>
        <w:gridCol w:w="1046"/>
        <w:gridCol w:w="182"/>
        <w:gridCol w:w="109"/>
        <w:gridCol w:w="109"/>
        <w:gridCol w:w="109"/>
        <w:gridCol w:w="211"/>
        <w:gridCol w:w="766"/>
        <w:gridCol w:w="161"/>
      </w:tblGrid>
      <w:tr>
        <w:trPr/>
        <w:tc>
          <w:tcPr>
            <w:tcW w:w="616" w:type="dxa"/>
            <w:tcBorders/>
            <w:shd w:fill="auto" w:val="clear"/>
            <w:vAlign w:val="center"/>
          </w:tcPr>
          <w:p>
            <w:pPr>
              <w:pStyle w:val="TableContents"/>
              <w:spacing w:before="0" w:after="283"/>
              <w:rPr>
                <w:sz w:val="4"/>
                <w:szCs w:val="4"/>
              </w:rPr>
            </w:pPr>
            <w:r>
              <w:rPr>
                <w:sz w:val="4"/>
                <w:szCs w:val="4"/>
              </w:rPr>
            </w:r>
          </w:p>
        </w:tc>
        <w:tc>
          <w:tcPr>
            <w:tcW w:w="403"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1138"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8"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46"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03"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40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Gathering and Processing North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Gathering and Processing South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Storage and Logistics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Intersegment Elimination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Topic 606 revenues</w:t>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Gathering</w:t>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Water</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Processing</w:t>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Storage</w:t>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Pipeline</w:t>
            </w:r>
          </w:p>
        </w:tc>
        <w:tc>
          <w:tcPr>
            <w:tcW w:w="1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Rail Loading</w:t>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2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7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8" w:type="dxa"/>
            <w:gridSpan w:val="3"/>
            <w:tcBorders/>
            <w:shd w:fill="auto" w:val="cle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2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2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Water</w:t>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Total Topic 606 revenues</w:t>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313.9 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165.6 </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Non-Topic 606 revenues</w:t>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2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2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402"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165.1 </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1,263.1 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center"/>
        <w:tblInd w:w="0" w:type="dxa"/>
        <w:tblCellMar>
          <w:top w:w="28" w:type="dxa"/>
          <w:left w:w="28" w:type="dxa"/>
          <w:bottom w:w="28" w:type="dxa"/>
          <w:right w:w="28" w:type="dxa"/>
        </w:tblCellMar>
      </w:tblPr>
      <w:tblGrid>
        <w:gridCol w:w="615"/>
        <w:gridCol w:w="398"/>
        <w:gridCol w:w="378"/>
        <w:gridCol w:w="385"/>
        <w:gridCol w:w="1125"/>
        <w:gridCol w:w="199"/>
        <w:gridCol w:w="109"/>
        <w:gridCol w:w="109"/>
        <w:gridCol w:w="109"/>
        <w:gridCol w:w="430"/>
        <w:gridCol w:w="1044"/>
        <w:gridCol w:w="224"/>
        <w:gridCol w:w="109"/>
        <w:gridCol w:w="109"/>
        <w:gridCol w:w="109"/>
        <w:gridCol w:w="271"/>
        <w:gridCol w:w="986"/>
        <w:gridCol w:w="140"/>
        <w:gridCol w:w="109"/>
        <w:gridCol w:w="109"/>
        <w:gridCol w:w="109"/>
        <w:gridCol w:w="346"/>
        <w:gridCol w:w="1039"/>
        <w:gridCol w:w="180"/>
        <w:gridCol w:w="109"/>
        <w:gridCol w:w="109"/>
        <w:gridCol w:w="109"/>
        <w:gridCol w:w="211"/>
        <w:gridCol w:w="766"/>
        <w:gridCol w:w="160"/>
      </w:tblGrid>
      <w:tr>
        <w:trPr/>
        <w:tc>
          <w:tcPr>
            <w:tcW w:w="615" w:type="dxa"/>
            <w:tcBorders/>
            <w:shd w:fill="auto" w:val="clear"/>
            <w:vAlign w:val="center"/>
          </w:tcPr>
          <w:p>
            <w:pPr>
              <w:pStyle w:val="TableContents"/>
              <w:spacing w:before="0" w:after="283"/>
              <w:rPr>
                <w:sz w:val="4"/>
                <w:szCs w:val="4"/>
              </w:rPr>
            </w:pPr>
            <w:r>
              <w:rPr>
                <w:sz w:val="4"/>
                <w:szCs w:val="4"/>
              </w:rPr>
            </w:r>
          </w:p>
        </w:tc>
        <w:tc>
          <w:tcPr>
            <w:tcW w:w="39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85" w:type="dxa"/>
            <w:tcBorders/>
            <w:shd w:fill="auto" w:val="clear"/>
            <w:vAlign w:val="center"/>
          </w:tcPr>
          <w:p>
            <w:pPr>
              <w:pStyle w:val="TableContents"/>
              <w:spacing w:before="0" w:after="283"/>
              <w:rPr>
                <w:sz w:val="4"/>
                <w:szCs w:val="4"/>
              </w:rPr>
            </w:pPr>
            <w:r>
              <w:rPr>
                <w:sz w:val="4"/>
                <w:szCs w:val="4"/>
              </w:rPr>
            </w:r>
          </w:p>
        </w:tc>
        <w:tc>
          <w:tcPr>
            <w:tcW w:w="1125"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986" w:type="dxa"/>
            <w:tcBorders/>
            <w:shd w:fill="auto" w:val="clear"/>
            <w:vAlign w:val="center"/>
          </w:tcPr>
          <w:p>
            <w:pPr>
              <w:pStyle w:val="TableContents"/>
              <w:spacing w:before="0" w:after="283"/>
              <w:rPr>
                <w:sz w:val="4"/>
                <w:szCs w:val="4"/>
              </w:rPr>
            </w:pPr>
            <w:r>
              <w:rPr>
                <w:sz w:val="4"/>
                <w:szCs w:val="4"/>
              </w:rPr>
            </w:r>
          </w:p>
        </w:tc>
        <w:tc>
          <w:tcPr>
            <w:tcW w:w="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6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1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14"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2022</w:t>
            </w:r>
          </w:p>
        </w:tc>
      </w:tr>
      <w:tr>
        <w:trPr/>
        <w:tc>
          <w:tcPr>
            <w:tcW w:w="13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Gathering and Processing North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Gathering and Processing South</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Storage and Logistics</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Intersegment Elimination</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4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Topic 606 revenues</w:t>
            </w:r>
          </w:p>
        </w:tc>
        <w:tc>
          <w:tcPr>
            <w:tcW w:w="170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Gathering</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38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Water</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Processing</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Compression</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Storage</w:t>
            </w:r>
          </w:p>
        </w:tc>
        <w:tc>
          <w:tcPr>
            <w:tcW w:w="17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Pipeline</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Transportation</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Rail Loading</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auto" w:val="clear"/>
            <w:vAlign w:val="center"/>
          </w:tcPr>
          <w:p>
            <w:pPr>
              <w:pStyle w:val="TableContents"/>
              <w:spacing w:before="0" w:after="283"/>
              <w:rPr>
                <w:sz w:val="4"/>
                <w:szCs w:val="4"/>
              </w:rPr>
            </w:pPr>
            <w:r>
              <w:rPr>
                <w:sz w:val="4"/>
                <w:szCs w:val="4"/>
              </w:rPr>
            </w:r>
          </w:p>
        </w:tc>
        <w:tc>
          <w:tcPr>
            <w:tcW w:w="170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9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56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7" w:type="dxa"/>
            <w:gridSpan w:val="3"/>
            <w:tcBorders/>
            <w:shd w:fill="auto" w:val="cle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Product Sales</w:t>
            </w:r>
          </w:p>
        </w:tc>
        <w:tc>
          <w:tcPr>
            <w:tcW w:w="17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9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6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Natural gas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Crude oil</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128.1 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374.0 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NGLs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645.6 </w:t>
            </w:r>
          </w:p>
        </w:tc>
        <w:tc>
          <w:tcPr>
            <w:tcW w:w="160"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Water</w:t>
            </w:r>
          </w:p>
        </w:tc>
        <w:tc>
          <w:tcPr>
            <w:tcW w:w="151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9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Total Topic 606 revenues</w:t>
            </w:r>
          </w:p>
        </w:tc>
        <w:tc>
          <w:tcPr>
            <w:tcW w:w="151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1,115.2 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FFFFFF" w:val="clear"/>
            <w:tcMar>
              <w:top w:w="0" w:type="dxa"/>
              <w:left w:w="0" w:type="dxa"/>
              <w:bottom w:w="0" w:type="dxa"/>
              <w:right w:w="0" w:type="dxa"/>
            </w:tcMar>
            <w:vAlign w:val="center"/>
          </w:tcPr>
          <w:p>
            <w:pPr>
              <w:pStyle w:val="TableContents"/>
              <w:spacing w:lineRule="auto" w:line="240" w:before="0" w:after="40"/>
              <w:ind w:left="0" w:right="0" w:hanging="225"/>
              <w:jc w:val="left"/>
              <w:rPr>
                <w:rFonts w:ascii="Times New Roman;sans-serif" w:hAnsi="Times New Roman;sans-serif"/>
                <w:b w:val="false"/>
                <w:color w:val="000000"/>
                <w:sz w:val="18"/>
              </w:rPr>
            </w:pPr>
            <w:r>
              <w:rPr>
                <w:rFonts w:ascii="Times New Roman;sans-serif" w:hAnsi="Times New Roman;sans-serif"/>
                <w:b w:val="false"/>
                <w:color w:val="000000"/>
                <w:sz w:val="18"/>
              </w:rPr>
              <w:t>Non-Topic 606 revenues</w:t>
            </w:r>
          </w:p>
        </w:tc>
        <w:tc>
          <w:tcPr>
            <w:tcW w:w="151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9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7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22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202.7 </w:t>
            </w:r>
          </w:p>
        </w:tc>
        <w:tc>
          <w:tcPr>
            <w:tcW w:w="1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91" w:type="dxa"/>
            <w:gridSpan w:val="3"/>
            <w:tcBorders/>
            <w:shd w:fill="CCEEFF" w:val="clear"/>
            <w:tcMar>
              <w:top w:w="0" w:type="dxa"/>
              <w:left w:w="0" w:type="dxa"/>
              <w:bottom w:w="0" w:type="dxa"/>
              <w:right w:w="0" w:type="dxa"/>
            </w:tcMar>
            <w:vAlign w:val="center"/>
          </w:tcPr>
          <w:p>
            <w:pPr>
              <w:pStyle w:val="TableContents"/>
              <w:spacing w:lineRule="auto" w:line="240" w:before="0" w:after="40"/>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1,583.8 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Note 15 – Related Party Transactions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enter into transactions with our affiliates within the ordinary course of business, including product purchases, marketing services and various operating agreements, including operating leases. We also enter into transactions with our affiliates related to services provided on our expansion projects. For a further description of our related party agreements, see our 2022 Annual Report on Form 10-K. During the three months ended March 31, 2023, we paid approximately $0.5 million of capital expenditures to Applied Consultants, Inc., an affiliate of First Reserve.</w:t>
      </w: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shows transactions with our affiliates which are reflected in our consolidated statements of operations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xml:space="preserve">). </w:t>
      </w:r>
    </w:p>
    <w:tbl>
      <w:tblPr>
        <w:tblW w:w="9054" w:type="dxa"/>
        <w:jc w:val="center"/>
        <w:tblInd w:w="0" w:type="dxa"/>
        <w:tblCellMar>
          <w:top w:w="28" w:type="dxa"/>
          <w:left w:w="28" w:type="dxa"/>
          <w:bottom w:w="28" w:type="dxa"/>
          <w:right w:w="28" w:type="dxa"/>
        </w:tblCellMar>
      </w:tblPr>
      <w:tblGrid>
        <w:gridCol w:w="2132"/>
        <w:gridCol w:w="1867"/>
        <w:gridCol w:w="1881"/>
        <w:gridCol w:w="109"/>
        <w:gridCol w:w="109"/>
        <w:gridCol w:w="202"/>
        <w:gridCol w:w="202"/>
        <w:gridCol w:w="392"/>
        <w:gridCol w:w="755"/>
        <w:gridCol w:w="202"/>
        <w:gridCol w:w="109"/>
        <w:gridCol w:w="109"/>
        <w:gridCol w:w="109"/>
        <w:gridCol w:w="211"/>
        <w:gridCol w:w="511"/>
        <w:gridCol w:w="154"/>
      </w:tblGrid>
      <w:tr>
        <w:trPr/>
        <w:tc>
          <w:tcPr>
            <w:tcW w:w="2132" w:type="dxa"/>
            <w:tcBorders/>
            <w:shd w:fill="auto" w:val="clear"/>
            <w:vAlign w:val="center"/>
          </w:tcPr>
          <w:p>
            <w:pPr>
              <w:pStyle w:val="TableContents"/>
              <w:spacing w:before="0" w:after="283"/>
              <w:rPr>
                <w:sz w:val="4"/>
                <w:szCs w:val="4"/>
              </w:rPr>
            </w:pPr>
            <w:r>
              <w:rPr>
                <w:sz w:val="4"/>
                <w:szCs w:val="4"/>
              </w:rPr>
            </w:r>
          </w:p>
        </w:tc>
        <w:tc>
          <w:tcPr>
            <w:tcW w:w="1867" w:type="dxa"/>
            <w:tcBorders/>
            <w:shd w:fill="auto" w:val="clear"/>
            <w:vAlign w:val="center"/>
          </w:tcPr>
          <w:p>
            <w:pPr>
              <w:pStyle w:val="TableContents"/>
              <w:spacing w:before="0" w:after="283"/>
              <w:rPr>
                <w:sz w:val="4"/>
                <w:szCs w:val="4"/>
              </w:rPr>
            </w:pPr>
            <w:r>
              <w:rPr>
                <w:sz w:val="4"/>
                <w:szCs w:val="4"/>
              </w:rPr>
            </w:r>
          </w:p>
        </w:tc>
        <w:tc>
          <w:tcPr>
            <w:tcW w:w="18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203" w:type="dxa"/>
            <w:gridSpan w:val="6"/>
            <w:tcBorders/>
            <w:shd w:fill="auto" w:val="clear"/>
          </w:tcPr>
          <w:p>
            <w:pPr>
              <w:pStyle w:val="TableContents"/>
              <w:spacing w:before="0" w:after="283"/>
              <w:rPr>
                <w:sz w:val="4"/>
                <w:szCs w:val="4"/>
              </w:rPr>
            </w:pPr>
            <w:r>
              <w:rPr>
                <w:sz w:val="4"/>
                <w:szCs w:val="4"/>
              </w:rPr>
            </w:r>
          </w:p>
        </w:tc>
      </w:tr>
      <w:tr>
        <w:trPr/>
        <w:tc>
          <w:tcPr>
            <w:tcW w:w="5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3"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203" w:type="dxa"/>
            <w:gridSpan w:val="6"/>
            <w:tcBorders/>
            <w:shd w:fill="auto" w:val="clear"/>
          </w:tcPr>
          <w:p>
            <w:pPr>
              <w:pStyle w:val="TableContents"/>
              <w:spacing w:before="0" w:after="283"/>
              <w:rPr>
                <w:sz w:val="4"/>
                <w:szCs w:val="4"/>
              </w:rPr>
            </w:pPr>
            <w:r>
              <w:rPr>
                <w:sz w:val="4"/>
                <w:szCs w:val="4"/>
              </w:rPr>
            </w:r>
          </w:p>
        </w:tc>
      </w:tr>
      <w:tr>
        <w:trPr/>
        <w:tc>
          <w:tcPr>
            <w:tcW w:w="58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134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Revenues at CEQP and CMLP</w:t>
            </w:r>
            <w:r>
              <w:rPr>
                <w:rFonts w:ascii="Times New Roman;sans-serif" w:hAnsi="Times New Roman;sans-serif"/>
                <w:b w:val="false"/>
                <w:color w:val="000000"/>
                <w:sz w:val="13"/>
              </w:rPr>
              <w:t>(1)</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Costs of product/services sold at CEQP and CMLP</w:t>
            </w:r>
            <w:r>
              <w:rPr>
                <w:rFonts w:ascii="Times New Roman;sans-serif" w:hAnsi="Times New Roman;sans-serif"/>
                <w:b w:val="false"/>
                <w:color w:val="000000"/>
                <w:sz w:val="13"/>
              </w:rPr>
              <w:t>(2)</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20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pPr>
            <w:r>
              <w:rPr>
                <w:rFonts w:ascii="Times New Roman;sans-serif" w:hAnsi="Times New Roman;sans-serif"/>
                <w:b w:val="false"/>
                <w:color w:val="000000"/>
                <w:sz w:val="20"/>
              </w:rPr>
              <w:t>Operations and maintenance expenses at CEQP and CMLP</w:t>
            </w:r>
            <w:r>
              <w:rPr>
                <w:rFonts w:ascii="Times New Roman;sans-serif" w:hAnsi="Times New Roman;sans-serif"/>
                <w:b w:val="false"/>
                <w:color w:val="000000"/>
                <w:sz w:val="13"/>
              </w:rP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 expenses charged by CEQP to CMLP, net</w:t>
            </w:r>
            <w:r>
              <w:rPr>
                <w:rFonts w:ascii="Times New Roman;sans-serif" w:hAnsi="Times New Roman;sans-serif"/>
                <w:b w:val="false"/>
                <w:color w:val="000000"/>
                <w:sz w:val="13"/>
              </w:rPr>
              <w:t>(4)</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auto"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8.9 </w:t>
            </w:r>
          </w:p>
        </w:tc>
        <w:tc>
          <w:tcPr>
            <w:tcW w:w="202"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80"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360"/>
              <w:jc w:val="left"/>
              <w:rPr/>
            </w:pPr>
            <w:r>
              <w:rPr>
                <w:rFonts w:ascii="Times New Roman;sans-serif" w:hAnsi="Times New Roman;sans-serif"/>
                <w:b w:val="false"/>
                <w:color w:val="000000"/>
                <w:sz w:val="20"/>
              </w:rPr>
              <w:t>General and administrative expenses at CEQP and CMLP</w:t>
            </w:r>
            <w:r>
              <w:rPr>
                <w:rFonts w:ascii="Times New Roman;sans-serif" w:hAnsi="Times New Roman;sans-serif"/>
                <w:b w:val="false"/>
                <w:color w:val="000000"/>
                <w:sz w:val="13"/>
              </w:rPr>
              <w:t>(5)</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center"/>
          </w:tcPr>
          <w:p>
            <w:pPr>
              <w:pStyle w:val="TableContents"/>
              <w:spacing w:before="0" w:after="283"/>
              <w:rPr>
                <w:sz w:val="4"/>
                <w:szCs w:val="4"/>
              </w:rPr>
            </w:pPr>
            <w:r>
              <w:rPr>
                <w:sz w:val="4"/>
                <w:szCs w:val="4"/>
              </w:rPr>
            </w:r>
          </w:p>
        </w:tc>
        <w:tc>
          <w:tcPr>
            <w:tcW w:w="392"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(i) $59.0 million during the three months ended March 31, 2022 primarily related to the sale of crude oil and NGLs to a subsidiary of Chord; (ii) $36.6 million during the three months ended March 31, 2022 primarily related to gathering and processing services provided to a subsidiary of Chord; (iii) $1.6 million during the three months ended March 31, 2022 related to the sale of NGLs to a subsidiary of Crestwood Permian; and (iv) $0.5 million during the three months ended March 31, 2022 related to compressor leases with a subsidiary of Crestwood Permian.</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(2)Includes (i) $0.3 million and $0.9 million during the three months ended March 31, 2023 and 2022 primarily related to purchases of natural gas from a subsidiary of Tres Holdings; (ii) $0.1 million during the three months ended March 31, 2023 related to gathering services under agreements Crestwood Permian Basin; (iii) $31.4 million during the three months ended March 31, 2022 primarily related to purchases of NGLs from a subsidiary of Chord; and (iv) $36.2 million during the three months ended March 31, 2022 related to purchases of natural gas and NGLs from a subsidiary of Crestwood Permian. </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(3)We have operating agreements with certain of our unconsolidated affiliates pursuant to which we charge them operations and maintenance expenses in accordance with their respective agreements, and these charges are reflected as a reduction of operations and maintenance expenses in our consolidated statements of operations. During the three months ended March 31, 2023, we charged $1.3 million to Tres Holdings and $1.1 million to Crestwood Permian Basin. During the three months ended March 31, 2022, we charged $1.2 million to Tres Holdings and $3.6 million to Crestwood Permian.</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(4)Includes $10.0 million and $8.6 million of unit-based compensation charges allocated from CEQP to CMLP during the three months ended March 31, 2023 and 2022. In addition, includes $1.1 million of CMLP’s general and administrative costs allocated to CEQP during both the three months ended March 31, 2023 and 2022.</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(5)Represents general and administrative expenses related to a transition services agreement with Chord.</w:t>
      </w:r>
    </w:p>
    <w:p>
      <w:pPr>
        <w:pStyle w:val="TextBody"/>
        <w:spacing w:before="60" w:after="283"/>
        <w:rPr/>
      </w:pPr>
      <w:r>
        <w:rPr/>
      </w:r>
    </w:p>
    <w:p>
      <w:pPr>
        <w:pStyle w:val="TextBody"/>
        <w:spacing w:lineRule="auto" w:line="288" w:before="0" w:after="0"/>
        <w:rPr/>
      </w:pPr>
      <w:r>
        <w:rPr>
          <w:rFonts w:ascii="Times New Roman;sans-serif" w:hAnsi="Times New Roman;sans-serif"/>
          <w:b w:val="false"/>
          <w:color w:val="000000"/>
          <w:sz w:val="20"/>
        </w:rPr>
        <w:t>The following table shows accounts receivable and accounts payable from our affiliates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5832" w:type="dxa"/>
        <w:jc w:val="center"/>
        <w:tblInd w:w="0" w:type="dxa"/>
        <w:tblCellMar>
          <w:top w:w="28" w:type="dxa"/>
          <w:left w:w="28" w:type="dxa"/>
          <w:bottom w:w="28" w:type="dxa"/>
          <w:right w:w="28" w:type="dxa"/>
        </w:tblCellMar>
      </w:tblPr>
      <w:tblGrid>
        <w:gridCol w:w="1244"/>
        <w:gridCol w:w="1094"/>
        <w:gridCol w:w="1097"/>
        <w:gridCol w:w="257"/>
        <w:gridCol w:w="495"/>
        <w:gridCol w:w="133"/>
        <w:gridCol w:w="109"/>
        <w:gridCol w:w="109"/>
        <w:gridCol w:w="109"/>
        <w:gridCol w:w="323"/>
        <w:gridCol w:w="624"/>
        <w:gridCol w:w="238"/>
      </w:tblGrid>
      <w:tr>
        <w:trPr/>
        <w:tc>
          <w:tcPr>
            <w:tcW w:w="1244"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1097"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495"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624" w:type="dxa"/>
            <w:tcBorders/>
            <w:shd w:fill="auto" w:val="clear"/>
            <w:vAlign w:val="center"/>
          </w:tcPr>
          <w:p>
            <w:pPr>
              <w:pStyle w:val="TableContents"/>
              <w:spacing w:before="0" w:after="283"/>
              <w:rPr>
                <w:sz w:val="4"/>
                <w:szCs w:val="4"/>
              </w:rPr>
            </w:pPr>
            <w:r>
              <w:rPr>
                <w:sz w:val="4"/>
                <w:szCs w:val="4"/>
              </w:rPr>
            </w:r>
          </w:p>
        </w:tc>
        <w:tc>
          <w:tcPr>
            <w:tcW w:w="238" w:type="dxa"/>
            <w:tcBorders/>
            <w:shd w:fill="auto" w:val="clear"/>
            <w:vAlign w:val="center"/>
          </w:tcPr>
          <w:p>
            <w:pPr>
              <w:pStyle w:val="TableContents"/>
              <w:spacing w:before="0" w:after="283"/>
              <w:rPr>
                <w:sz w:val="4"/>
                <w:szCs w:val="4"/>
              </w:rPr>
            </w:pPr>
            <w:r>
              <w:rPr>
                <w:sz w:val="4"/>
                <w:szCs w:val="4"/>
              </w:rPr>
            </w:r>
          </w:p>
        </w:tc>
      </w:tr>
      <w:tr>
        <w:trPr/>
        <w:tc>
          <w:tcPr>
            <w:tcW w:w="3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br/>
              <w:t>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2022</w:t>
            </w:r>
          </w:p>
        </w:tc>
      </w:tr>
      <w:tr>
        <w:trPr/>
        <w:tc>
          <w:tcPr>
            <w:tcW w:w="34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at CEQP and CMLP</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1.6 </w:t>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at CEQP and CMLP</w:t>
            </w:r>
          </w:p>
        </w:tc>
        <w:tc>
          <w:tcPr>
            <w:tcW w:w="257"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5"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13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3.0 </w:t>
            </w:r>
          </w:p>
        </w:tc>
        <w:tc>
          <w:tcPr>
            <w:tcW w:w="23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 xml:space="preserve">Item 2.Management’s Discussion and Analysis of Financial Condition and Results of Operations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Financial Condition and Results of Operations should be read in conjunction with the unaudited consolidated financial statements and accompanying footnotes included in this Quarterly Report on Form 10-Q and Part II, Item 7. Management’s Discussion and Analysis of Financial Condition and Results of Operations included in our 2022 Annual Report on Form 10-K.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This report, including information included or incorporated by reference herein, contains forward-looking statements concerning the financial condition, results of operations, plans, objectives, future performance and business of our company and its subsidiaries. These forward-looking statements include:</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statements that are not historical in nature, including, but not limited to: (i) our belief that anticipated cash from operations, cash distributions from entities that we control, and borrowing capacity under our credit facility will be sufficient to meet our anticipated liquidity needs for the foreseeable future; (ii) our belief that we do not have material potential liability in connection with legal proceedings that would have a significant financial impact on our consolidated financial condition, results of operations or cash flows; and (iii) our belief that our assets will continue to benefit from the development of unconventional shale plays as significant supply basins; and</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statements preceded by, followed by or that contain forward-looking terminology including the words “believe,” “expect,” “may,” “will,” “should,” “could,” “anticipate,” “estimate,” “intend” or the negation thereof, or similar expressions.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are not guarantees of future performance or results. They involve risks, uncertainties and assumptions. Actual results may differ materially from those contemplated by the forward-looking statements due to, among others, the following factors: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our ability to successfully implement our business plan for our assets and operations;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governmental legislation and regulations;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industry and global factors that influence the supply of and demand for crude oil, natural gas and NGLs;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industry factors that influence the demand for services in the markets (particularly unconventional shale plays) in which we provide services;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weather conditions;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outbreak of illness, pandemic or any other public health crisis, including the COVID-19 pandemic;</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the availability of crude oil, natural gas and NGLs, and the price of those commodities, to consumers relative to the price of alternative and competing fuels;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availability of storage and transportation infrastructure for hydrocarbons;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of members of the Organization of Petroleum Exporting Countries and other oil-producing countries to agree and maintain oil price and production controls;</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changes in global economic conditions, including capital and credit market conditions, inflation and interest rates;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costs or difficulties related to the integration of acquisitions;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environmental claims;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operating hazards and other risks incidental to the provision of midstream services, including gathering, compressing, treating, processing, fractionating, transporting and storing energy products (i.e., crude oil, NGLs and natural gas) and related products (i.e., produced water);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price and availability of debt and equity financing, including our ability to raise capital through alternatives like joint ventures;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the ability to sell or monetize assets, to reduce indebtedness, to repurchase our equity securities, to make strategic investments, or for other general partnership purposes.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For additional factors that could cause actual results to be materially different from those described in the forward-looking statements above, see Part I, Item 1A. Risk Factors of our 2022 Annual Report on Form 10-K.</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Outlook and Trends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objective is to create long-term value for our unitholders. We expect to create value for our investors by generating stable operating margins and improving cash flows from our diversified midstream operations by prudently financing investments in our assets and expansions of our portfolio, maximizing throughput and optimizing services on our assets, and effectively controlling our capital expenditures, operating and administrative costs. </w:t>
      </w: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February 20, 2023, we and Brookfield entered into an agreement with a third party to sell each of our respective interests in Tres Holdings for total consideration of approximately $335 million, plus working capital adjustments. The sale was completed on April 3, 2023 and largely completes our strategic realignment to divest of non-core assets.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2023, we plan to continue executing on our core-asset optimization strategy. To accomplish this strategy, we have taken steps to (i) engage with our customers to maintain and grow volumes across our asset portfolio; (ii) minimize growth capital expenditures to better align with development activity by our gathering and processing customers; (iii) realign our organization to reduce operating and administrative expenses from recent acquisitions and divestitures; (iv) optimize our storage, transportation and marketing assets to take advantage of regional commodity price volatility; and (v) evaluate our debt and equity structure to preserve liquidity and further enhance balance sheet strength. Given our efforts over the past few years to improve the Partnership’s competitive position in the businesses we operate, manage costs and improve margins and create a stronger balance sheet, we believe we are well positioned to execute our business plan.</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How We Evaluate Our Operations </w:t>
      </w:r>
    </w:p>
    <w:p>
      <w:pPr>
        <w:pStyle w:val="TextBody"/>
        <w:spacing w:lineRule="auto" w:line="288" w:before="0" w:after="0"/>
        <w:rPr>
          <w:color w:val="000000"/>
        </w:rPr>
      </w:pPr>
      <w:r>
        <w:rPr>
          <w:color w:val="000000"/>
        </w:rPr>
        <w:t> </w:t>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We evaluate our overall business performance based primarily on EBITDA and Adjusted EBITDA. We do not utilize depreciation, amortization and accretion expense in our key measures because we focus our performance management on cash flow generation and our assets have long useful lives.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EBITDA and Adjusted EBITDA</w:t>
      </w:r>
      <w:r>
        <w:rPr>
          <w:color w:val="000000"/>
        </w:rPr>
        <w:t xml:space="preserve"> </w:t>
      </w:r>
      <w:r>
        <w:rPr>
          <w:rFonts w:ascii="Times New Roman;sans-serif" w:hAnsi="Times New Roman;sans-serif"/>
          <w:b w:val="false"/>
          <w:color w:val="000000"/>
          <w:sz w:val="20"/>
        </w:rPr>
        <w:t>- We believe that EBITDA and Adjusted EBITDA are widely accepted financial indicators of a company’s operational performance and its ability to incur and service debt, fund capital expenditures and make distributions. We believe that EBITDA and Adjusted EBITDA are useful to our investors because it allows them to use the same performance measure analyzed internally by our management to evaluate the performance of our businesses and investments without regard to the manner in which they are financed or our capital structure. EBITDA is defined as income before income taxes, plus debt-related costs (interest and debt expense, net) and depreciation, amortization and accretion expense. Adjusted EBITDA considers the adjusted earnings impact of our unconsolidated affiliates by adjusting our equity earnings or losses from our unconsolidated affiliates to reflect our proportionate share (based on the distribution percentage) of their EBITDA, excluding gains and losses on long-lived assets and other impairments. Adjusted EBITDA also considers the impact of certain significant items, such as unit-based compensation charges, gains or losses on long-lived assets, third party costs incurred related to potential and completed acquisitions, certain environmental remediation costs, the change in fair value of commodity inventory-related derivative contracts, costs associated with the realignment and restructuring of our operations and corporate structure, and other transactions identified in a specific reporting period. The change in fair value of commodity inventory-related derivative contracts is considered in determining Adjusted EBITDA given that the timing of recognizing gains and losses on these derivative contracts differs from the recognition of revenue for the related underlying sale of inventory to which these derivatives relate. Changes in the fair value of other derivative contracts are not considered in determining Adjusted EBITDA given the relatively short-term nature of those derivative contracts. EBITDA and Adjusted EBITDA are not measures calculated in accordance with U.S. GAAP, as they do not include deductions for items such as depreciation, amortization and accretion, interest and income taxes, which are necessary to maintain our business. EBITDA and Adjusted EBITDA should not be considered as alternatives to net income, operating cash flow or any other measure of financial performance presented in accordance with U.S. GAAP. EBITDA and Adjusted EBITDA calculations may vary among entities, so our computation may not be comparable to measures used by other companies. See our reconciliation of net income to EBITDA and Adjusted EBITDA in “</w:t>
      </w:r>
      <w:r>
        <w:rPr>
          <w:rFonts w:ascii="Times New Roman;sans-serif" w:hAnsi="Times New Roman;sans-serif"/>
          <w:b w:val="false"/>
          <w:i/>
          <w:color w:val="000000"/>
          <w:sz w:val="20"/>
        </w:rPr>
        <w:t>Results of Operations</w:t>
      </w:r>
      <w:r>
        <w:rPr>
          <w:color w:val="000000"/>
        </w:rPr>
        <w:t xml:space="preserve">” </w:t>
      </w:r>
      <w:r>
        <w:rPr>
          <w:rFonts w:ascii="Times New Roman;sans-serif" w:hAnsi="Times New Roman;sans-serif"/>
          <w:b w:val="false"/>
          <w:color w:val="000000"/>
          <w:sz w:val="20"/>
        </w:rPr>
        <w:t>below.</w:t>
      </w:r>
    </w:p>
    <w:p>
      <w:pPr>
        <w:pStyle w:val="TextBody"/>
        <w:spacing w:before="180" w:after="283"/>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tables summarize our results of operations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xml:space="preserve">): </w:t>
      </w:r>
    </w:p>
    <w:tbl>
      <w:tblPr>
        <w:tblW w:w="10205" w:type="dxa"/>
        <w:jc w:val="center"/>
        <w:tblInd w:w="0" w:type="dxa"/>
        <w:tblCellMar>
          <w:top w:w="28" w:type="dxa"/>
          <w:left w:w="28" w:type="dxa"/>
          <w:bottom w:w="28" w:type="dxa"/>
          <w:right w:w="28" w:type="dxa"/>
        </w:tblCellMar>
      </w:tblPr>
      <w:tblGrid>
        <w:gridCol w:w="1338"/>
        <w:gridCol w:w="945"/>
        <w:gridCol w:w="950"/>
        <w:gridCol w:w="109"/>
        <w:gridCol w:w="109"/>
        <w:gridCol w:w="115"/>
        <w:gridCol w:w="115"/>
        <w:gridCol w:w="115"/>
        <w:gridCol w:w="115"/>
        <w:gridCol w:w="207"/>
        <w:gridCol w:w="731"/>
        <w:gridCol w:w="115"/>
        <w:gridCol w:w="109"/>
        <w:gridCol w:w="109"/>
        <w:gridCol w:w="109"/>
        <w:gridCol w:w="196"/>
        <w:gridCol w:w="691"/>
        <w:gridCol w:w="109"/>
        <w:gridCol w:w="109"/>
        <w:gridCol w:w="109"/>
        <w:gridCol w:w="109"/>
        <w:gridCol w:w="370"/>
        <w:gridCol w:w="370"/>
        <w:gridCol w:w="371"/>
        <w:gridCol w:w="109"/>
        <w:gridCol w:w="196"/>
        <w:gridCol w:w="691"/>
        <w:gridCol w:w="109"/>
        <w:gridCol w:w="109"/>
        <w:gridCol w:w="109"/>
        <w:gridCol w:w="109"/>
        <w:gridCol w:w="196"/>
        <w:gridCol w:w="691"/>
        <w:gridCol w:w="161"/>
      </w:tblGrid>
      <w:tr>
        <w:trPr/>
        <w:tc>
          <w:tcPr>
            <w:tcW w:w="1338" w:type="dxa"/>
            <w:tcBorders/>
            <w:shd w:fill="auto" w:val="clear"/>
            <w:vAlign w:val="center"/>
          </w:tcPr>
          <w:p>
            <w:pPr>
              <w:pStyle w:val="TableContents"/>
              <w:spacing w:before="0" w:after="283"/>
              <w:rPr>
                <w:sz w:val="4"/>
                <w:szCs w:val="4"/>
              </w:rPr>
            </w:pPr>
            <w:r>
              <w:rPr>
                <w:sz w:val="4"/>
                <w:szCs w:val="4"/>
              </w:rPr>
            </w:r>
          </w:p>
        </w:tc>
        <w:tc>
          <w:tcPr>
            <w:tcW w:w="945" w:type="dxa"/>
            <w:tcBorders/>
            <w:shd w:fill="auto" w:val="clear"/>
            <w:vAlign w:val="center"/>
          </w:tcPr>
          <w:p>
            <w:pPr>
              <w:pStyle w:val="TableContents"/>
              <w:spacing w:before="0" w:after="283"/>
              <w:rPr>
                <w:sz w:val="4"/>
                <w:szCs w:val="4"/>
              </w:rPr>
            </w:pPr>
            <w:r>
              <w:rPr>
                <w:sz w:val="4"/>
                <w:szCs w:val="4"/>
              </w:rPr>
            </w:r>
          </w:p>
        </w:tc>
        <w:tc>
          <w:tcPr>
            <w:tcW w:w="9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center"/>
          </w:tcPr>
          <w:p>
            <w:pPr>
              <w:pStyle w:val="TableContents"/>
              <w:spacing w:before="0" w:after="283"/>
              <w:rPr>
                <w:sz w:val="4"/>
                <w:szCs w:val="4"/>
              </w:rPr>
            </w:pPr>
            <w:r>
              <w:rPr>
                <w:sz w:val="4"/>
                <w:szCs w:val="4"/>
              </w:rPr>
            </w:r>
          </w:p>
        </w:tc>
        <w:tc>
          <w:tcPr>
            <w:tcW w:w="731"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2721"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Crestwood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71"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Crestwood Midstream</w:t>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480" w:type="dxa"/>
            <w:gridSpan w:val="10"/>
            <w:tcBorders/>
            <w:shd w:fill="auto" w:val="clea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13"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2480" w:type="dxa"/>
            <w:gridSpan w:val="10"/>
            <w:tcBorders/>
            <w:shd w:fill="auto" w:val="clear"/>
          </w:tcPr>
          <w:p>
            <w:pPr>
              <w:pStyle w:val="TableContents"/>
              <w:spacing w:before="0" w:after="283"/>
              <w:rPr>
                <w:sz w:val="4"/>
                <w:szCs w:val="4"/>
              </w:rPr>
            </w:pPr>
            <w:r>
              <w:rPr>
                <w:sz w:val="4"/>
                <w:szCs w:val="4"/>
              </w:rPr>
            </w:r>
          </w:p>
        </w:tc>
      </w:tr>
      <w:tr>
        <w:trPr/>
        <w:tc>
          <w:tcPr>
            <w:tcW w:w="32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1,583.8 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of product/services sold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1,364.4 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41.7 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long-lived assets,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debt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debt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long-lived assets,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rPr>
                <w:sz w:val="4"/>
                <w:szCs w:val="4"/>
              </w:rPr>
            </w:pPr>
            <w:r>
              <w:rPr>
                <w:sz w:val="4"/>
                <w:szCs w:val="4"/>
              </w:rPr>
            </w:r>
          </w:p>
        </w:tc>
      </w:tr>
      <w:tr>
        <w:trPr/>
        <w:tc>
          <w:tcPr>
            <w:tcW w:w="3233"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auto" w:val="clear"/>
            <w:vAlign w:val="center"/>
          </w:tcPr>
          <w:p>
            <w:pPr>
              <w:pStyle w:val="TableContents"/>
              <w:spacing w:before="0" w:after="283"/>
              <w:rPr>
                <w:sz w:val="4"/>
                <w:szCs w:val="4"/>
              </w:rPr>
            </w:pPr>
            <w:r>
              <w:rPr>
                <w:sz w:val="4"/>
                <w:szCs w:val="4"/>
              </w:rPr>
            </w:r>
          </w:p>
        </w:tc>
        <w:tc>
          <w:tcPr>
            <w:tcW w:w="105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8"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from unconsolidated affiliates,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61" w:type="dxa"/>
            <w:tcBorders/>
            <w:shd w:fill="CCEE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commodity inventory-related derivative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1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61" w:type="dxa"/>
            <w:tcBorders/>
            <w:shd w:fill="FFFFFF"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r>
      <w:tr>
        <w:trPr/>
        <w:tc>
          <w:tcPr>
            <w:tcW w:w="32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Significant transaction and environmental related costs and other items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2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tbl>
      <w:tblPr>
        <w:tblW w:w="10205" w:type="dxa"/>
        <w:jc w:val="center"/>
        <w:tblInd w:w="0" w:type="dxa"/>
        <w:tblCellMar>
          <w:top w:w="28" w:type="dxa"/>
          <w:left w:w="28" w:type="dxa"/>
          <w:bottom w:w="28" w:type="dxa"/>
          <w:right w:w="28" w:type="dxa"/>
        </w:tblCellMar>
      </w:tblPr>
      <w:tblGrid>
        <w:gridCol w:w="1459"/>
        <w:gridCol w:w="1105"/>
        <w:gridCol w:w="1114"/>
        <w:gridCol w:w="109"/>
        <w:gridCol w:w="109"/>
        <w:gridCol w:w="121"/>
        <w:gridCol w:w="121"/>
        <w:gridCol w:w="121"/>
        <w:gridCol w:w="121"/>
        <w:gridCol w:w="219"/>
        <w:gridCol w:w="623"/>
        <w:gridCol w:w="121"/>
        <w:gridCol w:w="109"/>
        <w:gridCol w:w="109"/>
        <w:gridCol w:w="109"/>
        <w:gridCol w:w="196"/>
        <w:gridCol w:w="556"/>
        <w:gridCol w:w="109"/>
        <w:gridCol w:w="109"/>
        <w:gridCol w:w="109"/>
        <w:gridCol w:w="109"/>
        <w:gridCol w:w="378"/>
        <w:gridCol w:w="378"/>
        <w:gridCol w:w="379"/>
        <w:gridCol w:w="109"/>
        <w:gridCol w:w="196"/>
        <w:gridCol w:w="556"/>
        <w:gridCol w:w="109"/>
        <w:gridCol w:w="109"/>
        <w:gridCol w:w="109"/>
        <w:gridCol w:w="109"/>
        <w:gridCol w:w="196"/>
        <w:gridCol w:w="556"/>
        <w:gridCol w:w="163"/>
      </w:tblGrid>
      <w:tr>
        <w:trPr/>
        <w:tc>
          <w:tcPr>
            <w:tcW w:w="1459" w:type="dxa"/>
            <w:tcBorders/>
            <w:shd w:fill="auto" w:val="clear"/>
            <w:vAlign w:val="center"/>
          </w:tcPr>
          <w:p>
            <w:pPr>
              <w:pStyle w:val="TableContents"/>
              <w:spacing w:before="0" w:after="283"/>
              <w:rPr>
                <w:sz w:val="4"/>
                <w:szCs w:val="4"/>
              </w:rPr>
            </w:pPr>
            <w:r>
              <w:rPr>
                <w:sz w:val="4"/>
                <w:szCs w:val="4"/>
              </w:rPr>
            </w:r>
          </w:p>
        </w:tc>
        <w:tc>
          <w:tcPr>
            <w:tcW w:w="1105"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center"/>
          </w:tcPr>
          <w:p>
            <w:pPr>
              <w:pStyle w:val="TableContents"/>
              <w:spacing w:before="0" w:after="283"/>
              <w:rPr>
                <w:sz w:val="4"/>
                <w:szCs w:val="4"/>
              </w:rPr>
            </w:pPr>
            <w:r>
              <w:rPr>
                <w:sz w:val="4"/>
                <w:szCs w:val="4"/>
              </w:rPr>
            </w:r>
          </w:p>
        </w:tc>
        <w:tc>
          <w:tcPr>
            <w:tcW w:w="623"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63" w:type="dxa"/>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2514" w:type="dxa"/>
            <w:gridSpan w:val="12"/>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Crestwood Equity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03" w:type="dxa"/>
            <w:gridSpan w:val="9"/>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Crestwood Midstream</w:t>
            </w:r>
          </w:p>
        </w:tc>
      </w:tr>
      <w:tr>
        <w:trPr/>
        <w:tc>
          <w:tcPr>
            <w:tcW w:w="3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7"/>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2212" w:type="dxa"/>
            <w:gridSpan w:val="10"/>
            <w:tcBorders/>
            <w:shd w:fill="auto" w:val="clear"/>
          </w:tcPr>
          <w:p>
            <w:pPr>
              <w:pStyle w:val="TableContents"/>
              <w:spacing w:before="0" w:after="283"/>
              <w:rPr>
                <w:sz w:val="4"/>
                <w:szCs w:val="4"/>
              </w:rPr>
            </w:pPr>
            <w:r>
              <w:rPr>
                <w:sz w:val="4"/>
                <w:szCs w:val="4"/>
              </w:rPr>
            </w:r>
          </w:p>
        </w:tc>
      </w:tr>
      <w:tr>
        <w:trPr/>
        <w:tc>
          <w:tcPr>
            <w:tcW w:w="3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7" w:type="dxa"/>
            <w:gridSpan w:val="7"/>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c>
          <w:tcPr>
            <w:tcW w:w="2212" w:type="dxa"/>
            <w:gridSpan w:val="10"/>
            <w:tcBorders/>
            <w:shd w:fill="auto" w:val="clear"/>
          </w:tcPr>
          <w:p>
            <w:pPr>
              <w:pStyle w:val="TableContents"/>
              <w:spacing w:before="0" w:after="283"/>
              <w:rPr>
                <w:sz w:val="4"/>
                <w:szCs w:val="4"/>
              </w:rPr>
            </w:pPr>
            <w:r>
              <w:rPr>
                <w:sz w:val="4"/>
                <w:szCs w:val="4"/>
              </w:rPr>
            </w:r>
          </w:p>
        </w:tc>
      </w:tr>
      <w:tr>
        <w:trPr/>
        <w:tc>
          <w:tcPr>
            <w:tcW w:w="367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Net changes in operating assets and liabilities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w:t>
            </w:r>
          </w:p>
        </w:tc>
        <w:tc>
          <w:tcPr>
            <w:tcW w:w="163" w:type="dxa"/>
            <w:tcBorders/>
            <w:shd w:fill="FFFFFF" w:val="clear"/>
            <w:tcMar>
              <w:top w:w="0" w:type="dxa"/>
              <w:left w:w="0" w:type="dxa"/>
              <w:bottom w:w="0" w:type="dxa"/>
              <w:right w:w="0" w:type="dxa"/>
            </w:tcMar>
            <w:vAlign w:val="center"/>
          </w:tcPr>
          <w:p>
            <w:pPr>
              <w:pStyle w:val="TableContents"/>
              <w:spacing w:before="0" w:after="283"/>
              <w:ind w:left="0" w:right="0" w:hanging="270"/>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debt-related deferred costs and fair value adjustment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debt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long-lived assets,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 adjusted for cash distributions received</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income taxes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non-cash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Unit-based compensation charges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long-lived assets,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rPr>
                <w:sz w:val="4"/>
                <w:szCs w:val="4"/>
              </w:rPr>
            </w:pPr>
            <w:r>
              <w:rPr>
                <w:sz w:val="4"/>
                <w:szCs w:val="4"/>
              </w:rPr>
            </w:r>
          </w:p>
        </w:tc>
      </w:tr>
      <w:tr>
        <w:trPr/>
        <w:tc>
          <w:tcPr>
            <w:tcW w:w="367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auto" w:val="clear"/>
            <w:vAlign w:val="center"/>
          </w:tcPr>
          <w:p>
            <w:pPr>
              <w:pStyle w:val="TableContents"/>
              <w:spacing w:before="0" w:after="283"/>
              <w:rPr>
                <w:sz w:val="4"/>
                <w:szCs w:val="4"/>
              </w:rPr>
            </w:pPr>
            <w:r>
              <w:rPr>
                <w:sz w:val="4"/>
                <w:szCs w:val="4"/>
              </w:rPr>
            </w:r>
          </w:p>
        </w:tc>
        <w:tc>
          <w:tcPr>
            <w:tcW w:w="96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5" w:type="dxa"/>
            <w:gridSpan w:val="3"/>
            <w:tcBorders/>
            <w:shd w:fill="auto" w:val="clear"/>
            <w:vAlign w:val="center"/>
          </w:tcPr>
          <w:p>
            <w:pPr>
              <w:pStyle w:val="TableContents"/>
              <w:spacing w:before="0" w:after="283"/>
              <w:ind w:left="0" w:right="0" w:hanging="180"/>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 from unconsolidated affiliates,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commodity inventory-related derivative contracts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2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6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Significant transaction and environmental related costs and other items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6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Adjusted EBITDA</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center"/>
          </w:tcPr>
          <w:p>
            <w:pPr>
              <w:pStyle w:val="TableContents"/>
              <w:spacing w:before="0" w:after="283"/>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192.6 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180" w:after="283"/>
        <w:rPr>
          <w:rFonts w:ascii="Times New Roman;sans-serif" w:hAnsi="Times New Roman;sans-serif"/>
          <w:b/>
          <w:color w:val="000000"/>
          <w:sz w:val="20"/>
        </w:rPr>
      </w:pPr>
      <w:r>
        <w:rPr>
          <w:rFonts w:ascii="Times New Roman;sans-serif" w:hAnsi="Times New Roman;sans-serif"/>
          <w:b/>
          <w:color w:val="000000"/>
          <w:sz w:val="20"/>
        </w:rPr>
        <w:t>Segment Results</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summarizes the EBITDA of our segments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p>
      <w:pPr>
        <w:pStyle w:val="TextBody"/>
        <w:spacing w:before="0" w:after="0"/>
        <w:jc w:val="center"/>
        <w:rPr/>
      </w:pPr>
      <w:r>
        <w:rPr/>
      </w:r>
    </w:p>
    <w:tbl>
      <w:tblPr>
        <w:tblW w:w="10205" w:type="dxa"/>
        <w:jc w:val="center"/>
        <w:tblInd w:w="0" w:type="dxa"/>
        <w:tblCellMar>
          <w:top w:w="28" w:type="dxa"/>
          <w:left w:w="28" w:type="dxa"/>
          <w:bottom w:w="28" w:type="dxa"/>
          <w:right w:w="28" w:type="dxa"/>
        </w:tblCellMar>
      </w:tblPr>
      <w:tblGrid>
        <w:gridCol w:w="753"/>
        <w:gridCol w:w="389"/>
        <w:gridCol w:w="391"/>
        <w:gridCol w:w="270"/>
        <w:gridCol w:w="790"/>
        <w:gridCol w:w="139"/>
        <w:gridCol w:w="109"/>
        <w:gridCol w:w="109"/>
        <w:gridCol w:w="109"/>
        <w:gridCol w:w="269"/>
        <w:gridCol w:w="788"/>
        <w:gridCol w:w="139"/>
        <w:gridCol w:w="109"/>
        <w:gridCol w:w="109"/>
        <w:gridCol w:w="109"/>
        <w:gridCol w:w="239"/>
        <w:gridCol w:w="699"/>
        <w:gridCol w:w="123"/>
        <w:gridCol w:w="109"/>
        <w:gridCol w:w="109"/>
        <w:gridCol w:w="109"/>
        <w:gridCol w:w="270"/>
        <w:gridCol w:w="790"/>
        <w:gridCol w:w="139"/>
        <w:gridCol w:w="109"/>
        <w:gridCol w:w="109"/>
        <w:gridCol w:w="109"/>
        <w:gridCol w:w="290"/>
        <w:gridCol w:w="702"/>
        <w:gridCol w:w="150"/>
        <w:gridCol w:w="109"/>
        <w:gridCol w:w="109"/>
        <w:gridCol w:w="109"/>
        <w:gridCol w:w="229"/>
        <w:gridCol w:w="834"/>
        <w:gridCol w:w="177"/>
      </w:tblGrid>
      <w:tr>
        <w:trPr/>
        <w:tc>
          <w:tcPr>
            <w:tcW w:w="753" w:type="dxa"/>
            <w:tcBorders/>
            <w:shd w:fill="auto" w:val="clear"/>
            <w:vAlign w:val="center"/>
          </w:tcPr>
          <w:p>
            <w:pPr>
              <w:pStyle w:val="TableContents"/>
              <w:spacing w:before="0" w:after="283"/>
              <w:rPr>
                <w:sz w:val="4"/>
                <w:szCs w:val="4"/>
              </w:rPr>
            </w:pPr>
            <w:r>
              <w:rPr>
                <w:sz w:val="4"/>
                <w:szCs w:val="4"/>
              </w:rPr>
            </w:r>
          </w:p>
        </w:tc>
        <w:tc>
          <w:tcPr>
            <w:tcW w:w="389" w:type="dxa"/>
            <w:tcBorders/>
            <w:shd w:fill="auto" w:val="clear"/>
            <w:vAlign w:val="center"/>
          </w:tcPr>
          <w:p>
            <w:pPr>
              <w:pStyle w:val="TableContents"/>
              <w:spacing w:before="0" w:after="283"/>
              <w:rPr>
                <w:sz w:val="4"/>
                <w:szCs w:val="4"/>
              </w:rPr>
            </w:pPr>
            <w:r>
              <w:rPr>
                <w:sz w:val="4"/>
                <w:szCs w:val="4"/>
              </w:rPr>
            </w:r>
          </w:p>
        </w:tc>
        <w:tc>
          <w:tcPr>
            <w:tcW w:w="391"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9"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699" w:type="dxa"/>
            <w:tcBorders/>
            <w:shd w:fill="auto" w:val="clear"/>
            <w:vAlign w:val="center"/>
          </w:tcPr>
          <w:p>
            <w:pPr>
              <w:pStyle w:val="TableContents"/>
              <w:spacing w:before="0" w:after="283"/>
              <w:rPr>
                <w:sz w:val="4"/>
                <w:szCs w:val="4"/>
              </w:rPr>
            </w:pPr>
            <w:r>
              <w:rPr>
                <w:sz w:val="4"/>
                <w:szCs w:val="4"/>
              </w:rPr>
            </w:r>
          </w:p>
        </w:tc>
        <w:tc>
          <w:tcPr>
            <w:tcW w:w="1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702"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83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r>
      <w:tr>
        <w:trPr/>
        <w:tc>
          <w:tcPr>
            <w:tcW w:w="1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153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10"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35"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2022</w:t>
            </w:r>
          </w:p>
        </w:tc>
      </w:tr>
      <w:tr>
        <w:trPr/>
        <w:tc>
          <w:tcPr>
            <w:tcW w:w="1533"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and Processing North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and Processing South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061"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Logistics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9"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and Processing North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and Processing South</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spacing w:before="0" w:after="283"/>
              <w:rPr>
                <w:sz w:val="4"/>
                <w:szCs w:val="4"/>
              </w:rPr>
            </w:pPr>
            <w:r>
              <w:rPr>
                <w:sz w:val="4"/>
                <w:szCs w:val="4"/>
              </w:rPr>
            </w:r>
          </w:p>
        </w:tc>
        <w:tc>
          <w:tcPr>
            <w:tcW w:w="1240" w:type="dxa"/>
            <w:gridSpan w:val="3"/>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Storage and Logistics</w:t>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215.4 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revenues</w:t>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Costs of product/services sold</w:t>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736.5 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205.6 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1,159.4 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0"/>
              <w:ind w:left="0" w:right="0" w:hanging="270"/>
              <w:jc w:val="left"/>
              <w:rPr>
                <w:rFonts w:ascii="Times New Roman;sans-serif" w:hAnsi="Times New Roman;sans-serif"/>
                <w:b w:val="false"/>
                <w:color w:val="000000"/>
                <w:sz w:val="18"/>
              </w:rPr>
            </w:pPr>
            <w:r>
              <w:rPr>
                <w:rFonts w:ascii="Times New Roman;sans-serif" w:hAnsi="Times New Roman;sans-serif"/>
                <w:b w:val="false"/>
                <w:color w:val="000000"/>
                <w:sz w:val="18"/>
              </w:rPr>
              <w:t>Operations and maintenance expenses</w:t>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long-lived assets, net</w:t>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(0.8)</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1533"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ind w:left="0" w:right="0" w:hanging="270"/>
              <w:rPr>
                <w:sz w:val="4"/>
                <w:szCs w:val="4"/>
              </w:rPr>
            </w:pPr>
            <w:r>
              <w:rPr>
                <w:sz w:val="4"/>
                <w:szCs w:val="4"/>
              </w:rPr>
            </w:r>
          </w:p>
        </w:tc>
      </w:tr>
      <w:tr>
        <w:trPr/>
        <w:tc>
          <w:tcPr>
            <w:tcW w:w="153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Earnings from unconsolidated affiliates, net</w:t>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w:t>
            </w:r>
          </w:p>
        </w:tc>
        <w:tc>
          <w:tcPr>
            <w:tcW w:w="15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17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EBITDA</w:t>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132.8 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1533"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r>
        <w:trPr/>
        <w:tc>
          <w:tcPr>
            <w:tcW w:w="1533"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9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40"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120" w:after="283"/>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Below is a discussion of the factors that impacted EBITDA by segment for the three months ended March 31, 2023 compared to the same period in 2022. </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Gathering and Processing North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EBITDA for our gathering and processing north segment was relatively flat during the three months ended March 31, 2023 compared to the same period in 2022, primarily due to the contribution of our Williston Basin operations acquired in conjunction with the merger with Oasis Midstream in February 2022, offset by the decline in gathering and processing volumes and the impact of lower commodity prices experienced by our Arrow operations during the three months ended March 31, 2023 compared to the same period in 2022.</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 xml:space="preserve">Our gathering and processing north segment’s revenues decreased by approximately $48.2 million during the three months ended March 31, 2023 compared to the same period in 2022, while our costs of product/services sold decreased by approximately $53.2 million. These decreases were primarily driven by our Arrow operations which experienced a more than 30% decrease in the average commodity prices it received on natural gas and NGLs it purchases and sells pursuant to its gas gathering and processing agreements during the three months ended March 31, 2023 compared to the same period in 2022. We manage our company-wide crude oil, natural gas and NGL commodity exposures through price risk management activities conducted by our storage and logistics segment, which is further described under </w:t>
      </w:r>
      <w:r>
        <w:rPr>
          <w:rFonts w:ascii="Times New Roman;sans-serif" w:hAnsi="Times New Roman;sans-serif"/>
          <w:b w:val="false"/>
          <w:i/>
          <w:color w:val="000000"/>
          <w:sz w:val="20"/>
        </w:rPr>
        <w:t>Storage and Logistics</w:t>
      </w:r>
      <w:r>
        <w:rPr>
          <w:color w:val="000000"/>
        </w:rPr>
        <w:t xml:space="preserve"> </w:t>
      </w:r>
      <w:r>
        <w:rPr>
          <w:rFonts w:ascii="Times New Roman;sans-serif" w:hAnsi="Times New Roman;sans-serif"/>
          <w:b w:val="false"/>
          <w:color w:val="000000"/>
          <w:sz w:val="20"/>
        </w:rPr>
        <w:t>below. In addition, Arrow’s natural gas gathering and processing volumes decreased by approximately 10% and 11%, respectively during the three months ended March 31, 2023 compared to the same period in 2022 due to unusual winter weather conditions experienced at the end of 2022 and into early 2023. Partially offsetting the decrease in revenues described above was the impact of our Williston Basin operations acquired in conjunction with the merger with Oasis Midstream in February 2022, which experienced an increase in its natural gas gathering and processing volumes of approximately 46% and 42%, respectively, during the three months ended March 31, 2023 compared to the same period in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gathering and processing north segment’s operations and maintenance expenses increased by approximately $5.6 million during the three months ended March 31, 2023 compared to the same period in 2022, primarily due to our Williston Basin operations acquired in conjunction with the merger with Oasis Midstream in February 2022.</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Gathering and Processing South</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EBITDA for our gathering and processing south segment increased by approximately $13.6 million during the three months ended March 31, 2023 compared to the same period in 2022. Our gathering and processing south segment’s revenues, costs of product/services sold and operations and maintenance expenses increased by approximately $134.4 million, $109.1 million, and $8.4 million, respectively, during the three months ended March 31, 2023 compared to the same period in 2022. These increases were primarily driven by the impact of our Delaware Basin operations acquired during February 2022 in conjunction with the merger with Oasis Midstream, the acquisitions in July 2022 of Sendero Midstream Partners LP and the remaining 50% equity interest in Crestwood Permian, which increased our gathering and processing south segment’s revenues, costs of product/services sold and operations and maintenance expenses by approximately $162.9 million, $109.3 million and $15.2 million, respectively.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Partially offsetting the increases described above were the divestitures of our Barnett and Marcellus legacy, non-core operations during 2022, which decreased our gathering and processing south segment’s revenues and operations and maintenance expenses by approximately $27.6 million and $6.6 million, respectively, during the three months ended March 31, 2023 compared to the same period in 2022.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gathering and processing south segment’s EBITDA was also impacted by a net decrease in earnings from unconsolidated affiliates of approximately $2.3 million during the three months ended March 31, 2023 compared to the same period in 2022, primarily due to the consolidation of our Crestwood Permian equity investment as a result of acquiring the remaining 50% equity interest in Crestwood Permian in July 2022.</w:t>
      </w:r>
    </w:p>
    <w:p>
      <w:pPr>
        <w:pStyle w:val="TextBody"/>
        <w:spacing w:before="0" w:after="0"/>
        <w:rPr/>
      </w:pPr>
      <w:r>
        <w:rPr/>
      </w:r>
    </w:p>
    <w:p>
      <w:pPr>
        <w:pStyle w:val="TextBody"/>
        <w:spacing w:lineRule="auto" w:line="288" w:before="0" w:after="0"/>
        <w:rPr>
          <w:rFonts w:ascii="Times New Roman;sans-serif" w:hAnsi="Times New Roman;sans-serif"/>
          <w:b/>
          <w:i/>
          <w:color w:val="000000"/>
          <w:sz w:val="20"/>
        </w:rPr>
      </w:pPr>
      <w:r>
        <w:rPr>
          <w:rFonts w:ascii="Times New Roman;sans-serif" w:hAnsi="Times New Roman;sans-serif"/>
          <w:b/>
          <w:i/>
          <w:color w:val="000000"/>
          <w:sz w:val="20"/>
        </w:rPr>
        <w:t>Storage and Logistics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EBITDA for our storage and logistics segment increased by approximately $20.8 million during the three months ended March 31, 2023 compared to the same period in 2022, primarily driven by our NGL logistics operations which experienced an increase in demand for its storage and terminalling services during early 2023 due to unusual winter weather conditions in the Midwest and East Coast. Partially offsetting the increase in our NGL logistics operations was the impact of lower commodity prices described below.</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NGL marketing and logistics operations experienced a decrease in revenues and costs of product/services sold of approximately $259.0 million and $276.9 million, respectively, during the three months ended March 31, 2023 compared to the same period in 2022. These decreases were primarily driven by lower NGL prices during the three months ended March 31, 2023 as a result of overall decreases in commodity prices during early 2023 compared to the same period in 2022. Our NGL marketing and logistics operations’ costs of product/services sold decreased more than its revenues primarily due to the increased demand for our NGL storage and terminalling operations described above and the impact of commodity prices on our assets and liabilities from price risk management activities that manage our company-wide crude oil, natural gas and NGL commodity price exposures. Included in our costs of product/services sold was a gain of $7.2 million during the three months ended March 31, 2023 as compared to a loss of $47.6 million during the three months ended March 31, 2022 related to our price risk management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crude oil and natural gas marketing operations experienced a decrease in its revenues and product costs of approximately $147.3 million and $146.1 million, respectively, during the three months ended March 31, 2023 compared to the same period in 2022. These decreases were primarily driven by lower crude oil purchases and sales as a result of decreases in commodity prices during the three months ended March 31, 2023 compared to the same period in 2022.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storage and logistics segment’s EBITDA during the three months ended March 31, 2022 was impacted by a loss on long-lived assets of approximately $4.0 million primarily due to the buyout of leases related to our exiting the crude oil railcar leasing business.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storage and transportation segment’s EBITDA was also impacted by an increase in earnings from unconsolidated affiliates of approximately $1.0 million during the three months ended March 31, 2023 compared to the same period in 2022. During the three months ended March 31, 2023, earnings from our Tres Holdings equity investment increased primarily due to higher revenues experienced by Tres Holdings resulting from an increase in demand for its storage and transportation services in early 2023.</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Other EBITDA Results</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General and Administrative Expenses.</w:t>
      </w:r>
      <w:r>
        <w:rPr>
          <w:color w:val="000000"/>
        </w:rPr>
        <w:t xml:space="preserve"> </w:t>
      </w:r>
      <w:r>
        <w:rPr>
          <w:rFonts w:ascii="Times New Roman;sans-serif" w:hAnsi="Times New Roman;sans-serif"/>
          <w:b w:val="false"/>
          <w:color w:val="000000"/>
          <w:sz w:val="20"/>
        </w:rPr>
        <w:t>During the three months ended March 31, 2023, our general and administrative expenses decreased by approximately $12 million compared to the same period in 2022, primarily due to transaction costs incurred in connection with our strategic transactions executed during 2022.</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Items not affecting EBITDA include the following:</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 xml:space="preserve">Depreciation, Amortization and Accretion Expense. </w:t>
      </w:r>
      <w:r>
        <w:rPr>
          <w:rFonts w:ascii="Times New Roman;sans-serif" w:hAnsi="Times New Roman;sans-serif"/>
          <w:b w:val="false"/>
          <w:color w:val="000000"/>
          <w:sz w:val="20"/>
        </w:rPr>
        <w:t xml:space="preserve">During the three months ended March 31, 2023, our depreciation, amortization and accretion expense increased compared to the same period in 2022, primarily due to our acquisitions during 2022, partially offset by the divestitures of our legacy Barnett and Marcellus operations during 2022. </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pPr>
      <w:r>
        <w:rPr>
          <w:rFonts w:ascii="Times New Roman;sans-serif" w:hAnsi="Times New Roman;sans-serif"/>
          <w:b w:val="false"/>
          <w:i/>
          <w:color w:val="000000"/>
          <w:sz w:val="20"/>
        </w:rPr>
        <w:t>Interest and Debt Expense, Net.</w:t>
      </w:r>
      <w:r>
        <w:rPr>
          <w:color w:val="000000"/>
        </w:rPr>
        <w:t xml:space="preserve"> </w:t>
      </w:r>
      <w:r>
        <w:rPr>
          <w:rFonts w:ascii="Times New Roman;sans-serif" w:hAnsi="Times New Roman;sans-serif"/>
          <w:b w:val="false"/>
          <w:color w:val="000000"/>
          <w:sz w:val="20"/>
        </w:rPr>
        <w:t>During the three months ended March 31, 2023, our interest and debt expense, net increased by approximately $20 million compared to the same period in 2022, primarily due to the 2031 Senior Notes issued in January 2023 and higher interest rates on borrowings under the CMLP Credit Facility during 2023 compared to 2022.</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provides a summary of our interest and debt expense, net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tbl>
      <w:tblPr>
        <w:tblW w:w="5845" w:type="dxa"/>
        <w:jc w:val="center"/>
        <w:tblInd w:w="0" w:type="dxa"/>
        <w:tblCellMar>
          <w:top w:w="28" w:type="dxa"/>
          <w:left w:w="28" w:type="dxa"/>
          <w:bottom w:w="28" w:type="dxa"/>
          <w:right w:w="28" w:type="dxa"/>
        </w:tblCellMar>
      </w:tblPr>
      <w:tblGrid>
        <w:gridCol w:w="966"/>
        <w:gridCol w:w="850"/>
        <w:gridCol w:w="854"/>
        <w:gridCol w:w="109"/>
        <w:gridCol w:w="109"/>
        <w:gridCol w:w="182"/>
        <w:gridCol w:w="182"/>
        <w:gridCol w:w="353"/>
        <w:gridCol w:w="855"/>
        <w:gridCol w:w="182"/>
        <w:gridCol w:w="109"/>
        <w:gridCol w:w="109"/>
        <w:gridCol w:w="109"/>
        <w:gridCol w:w="211"/>
        <w:gridCol w:w="511"/>
        <w:gridCol w:w="154"/>
      </w:tblGrid>
      <w:tr>
        <w:trPr/>
        <w:tc>
          <w:tcPr>
            <w:tcW w:w="966" w:type="dxa"/>
            <w:tcBorders/>
            <w:shd w:fill="auto" w:val="clear"/>
            <w:vAlign w:val="center"/>
          </w:tcPr>
          <w:p>
            <w:pPr>
              <w:pStyle w:val="TableContents"/>
              <w:spacing w:before="0" w:after="283"/>
              <w:rPr>
                <w:sz w:val="4"/>
                <w:szCs w:val="4"/>
              </w:rPr>
            </w:pPr>
            <w:r>
              <w:rPr>
                <w:sz w:val="4"/>
                <w:szCs w:val="4"/>
              </w:rPr>
            </w:r>
          </w:p>
        </w:tc>
        <w:tc>
          <w:tcPr>
            <w:tcW w:w="850"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3" w:type="dxa"/>
            <w:tcBorders/>
            <w:shd w:fill="auto" w:val="clear"/>
            <w:vAlign w:val="center"/>
          </w:tcPr>
          <w:p>
            <w:pPr>
              <w:pStyle w:val="TableContents"/>
              <w:spacing w:before="0" w:after="283"/>
              <w:rPr>
                <w:sz w:val="4"/>
                <w:szCs w:val="4"/>
              </w:rPr>
            </w:pPr>
            <w:r>
              <w:rPr>
                <w:sz w:val="4"/>
                <w:szCs w:val="4"/>
              </w:rPr>
            </w:r>
          </w:p>
        </w:tc>
        <w:tc>
          <w:tcPr>
            <w:tcW w:w="855"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c>
          <w:tcPr>
            <w:tcW w:w="1203" w:type="dxa"/>
            <w:gridSpan w:val="6"/>
            <w:tcBorders/>
            <w:shd w:fill="auto" w:val="clea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4" w:type="dxa"/>
            <w:gridSpan w:val="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c>
          <w:tcPr>
            <w:tcW w:w="1203" w:type="dxa"/>
            <w:gridSpan w:val="6"/>
            <w:tcBorders/>
            <w:shd w:fill="auto" w:val="clear"/>
          </w:tcPr>
          <w:p>
            <w:pPr>
              <w:pStyle w:val="TableContents"/>
              <w:spacing w:before="0" w:after="283"/>
              <w:rPr>
                <w:sz w:val="4"/>
                <w:szCs w:val="4"/>
              </w:rPr>
            </w:pPr>
            <w:r>
              <w:rPr>
                <w:sz w:val="4"/>
                <w:szCs w:val="4"/>
              </w:rPr>
            </w:r>
          </w:p>
        </w:tc>
      </w:tr>
      <w:tr>
        <w:trPr/>
        <w:tc>
          <w:tcPr>
            <w:tcW w:w="267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3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08"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44.1 </w:t>
            </w:r>
          </w:p>
        </w:tc>
        <w:tc>
          <w:tcPr>
            <w:tcW w:w="18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net </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Gross interest and debt expense</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08"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capitalized interest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20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8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and debt expense, net</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182" w:type="dxa"/>
            <w:tcBorders/>
            <w:shd w:fill="auto" w:val="clear"/>
            <w:vAlign w:val="center"/>
          </w:tcPr>
          <w:p>
            <w:pPr>
              <w:pStyle w:val="TableContents"/>
              <w:spacing w:before="0" w:after="283"/>
              <w:rPr>
                <w:sz w:val="4"/>
                <w:szCs w:val="4"/>
              </w:rPr>
            </w:pPr>
            <w:r>
              <w:rPr>
                <w:sz w:val="4"/>
                <w:szCs w:val="4"/>
              </w:rPr>
            </w:r>
          </w:p>
        </w:tc>
        <w:tc>
          <w:tcPr>
            <w:tcW w:w="3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Liquidity and Sources of Capital</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Crestwood Equity is a holding company that derives all of its operating cash flow from its operating subsidiaries. Our principal sources of liquidity include cash generated by operating activities from our subsidiaries, distributions from our joint ventures, borrowings under the CMLP credit facility, and sales of equity and debt securities. Our equity investments use cash from their respective operations and contributions from us to fund their operating activities and maintenance and growth capital expenditures. We believe our liquidity sources and operating cash flows are sufficient to address our future operating, debt service and capital requirements.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make quarterly cash distributions to our common unitholders within approximately 45 days after the end of each fiscal quarter in an aggregate amount equal to our available cash for such quarter. We also pay quarterly cash distributions of approximately $15 million to our preferred unitholders and quarterly cash distributions of approximately $10 million to Crestwood Niobrara’s non-controlling partner. The $434.3 million of preferred securities issued to Crestwood Niobrara’s non-controlling partner are redeemable by the non-controlling partner beginning in January 2024, and we believe we have adequate borrowing capacity under the Crestwood Midstream credit facility along with adequate other potential sources of capital to fund any such potential redemption.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On April 20, 2023, we declared a quarterly cash distribution of $0.655 per unit to our common unitholders with respect to the first quarter of 2023, which will be paid on May 15, 2023. Our Board of Directors evaluates the level of distributions to our common and preferred unitholders every quarter and considers a wide range of strategic, commercial, operational and financial factors, including current and projected operating cash flows. We believe our operating cash flows will exceed cash distributions to our partners, preferred unitholders and non-controlling partner, and as a result, we will have adequate operating cash flows as a source of liquidity for our growth capital expenditures.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As of March 31, 2023, we had $1.1 billion of available capacity under the Crestwood Midstream credit facility, considering the most restrictive debt covenants in the credit agreement. As of March 31, 2023, we were in compliance with all of our debt covenants applicable to our credit facility and senior notes. See Item 1. Financial Statements, Note 8 for a description of the covenants related to our credit facility.</w:t>
      </w: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We may from time to time seek to retire or purchase our outstanding debt through cash purchases and/or exchanges for equity securities, in open market purchases, privately negotiated transactions, tender offers or otherwise. Such repurchases or exchanges, if any, will depend on prevailing market conditions, our liquidity requirements, contractual restrictions and other factors. The amounts involved may be material. In January 2023, Crestwood Midstream issued $600 million of 7.375% unsecured senior notes due 2031 (the 2031 Senior Notes). We used the proceeds from the issuance of the 2031 Senior Notes to repay borrowings under the Crestwood Midstream credit facility and to repay all outstanding borrowings under the Crestwood Permian credit facility, which was terminated in January 2023. In April 2023, we sold our 50% equity interest in Tres Holdings for approximately $178.3 million, including working capital adjustments, and we used the proceeds from the sale to repay amounts outstanding under the Crestwood Midstream credit facility.</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provides a summary of Crestwood Equity’s cash flows by category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 xml:space="preserve">): </w:t>
      </w:r>
    </w:p>
    <w:tbl>
      <w:tblPr>
        <w:tblW w:w="5859" w:type="dxa"/>
        <w:jc w:val="left"/>
        <w:tblInd w:w="0" w:type="dxa"/>
        <w:tblCellMar>
          <w:top w:w="28" w:type="dxa"/>
          <w:left w:w="28" w:type="dxa"/>
          <w:bottom w:w="28" w:type="dxa"/>
          <w:right w:w="28" w:type="dxa"/>
        </w:tblCellMar>
      </w:tblPr>
      <w:tblGrid>
        <w:gridCol w:w="1254"/>
        <w:gridCol w:w="1104"/>
        <w:gridCol w:w="1107"/>
        <w:gridCol w:w="211"/>
        <w:gridCol w:w="691"/>
        <w:gridCol w:w="109"/>
        <w:gridCol w:w="109"/>
        <w:gridCol w:w="109"/>
        <w:gridCol w:w="109"/>
        <w:gridCol w:w="211"/>
        <w:gridCol w:w="691"/>
        <w:gridCol w:w="154"/>
      </w:tblGrid>
      <w:tr>
        <w:trPr/>
        <w:tc>
          <w:tcPr>
            <w:tcW w:w="1254" w:type="dxa"/>
            <w:tcBorders/>
            <w:shd w:fill="auto" w:val="clear"/>
            <w:vAlign w:val="center"/>
          </w:tcPr>
          <w:p>
            <w:pPr>
              <w:pStyle w:val="TableContents"/>
              <w:spacing w:before="0" w:after="283"/>
              <w:rPr>
                <w:sz w:val="4"/>
                <w:szCs w:val="4"/>
              </w:rPr>
            </w:pPr>
            <w:r>
              <w:rPr>
                <w:sz w:val="4"/>
                <w:szCs w:val="4"/>
              </w:rPr>
            </w:r>
          </w:p>
        </w:tc>
        <w:tc>
          <w:tcPr>
            <w:tcW w:w="1104" w:type="dxa"/>
            <w:tcBorders/>
            <w:shd w:fill="auto" w:val="clear"/>
            <w:vAlign w:val="center"/>
          </w:tcPr>
          <w:p>
            <w:pPr>
              <w:pStyle w:val="TableContents"/>
              <w:spacing w:before="0" w:after="283"/>
              <w:rPr>
                <w:sz w:val="4"/>
                <w:szCs w:val="4"/>
              </w:rPr>
            </w:pPr>
            <w:r>
              <w:rPr>
                <w:sz w:val="4"/>
                <w:szCs w:val="4"/>
              </w:rPr>
            </w:r>
          </w:p>
        </w:tc>
        <w:tc>
          <w:tcPr>
            <w:tcW w:w="110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9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w:t>
            </w:r>
          </w:p>
        </w:tc>
      </w:tr>
      <w:tr>
        <w:trPr/>
        <w:tc>
          <w:tcPr>
            <w:tcW w:w="34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5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2022</w:t>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(179.7)</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Operating Activities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cash flows from operating activities increased by approximately $23.4 million during the three months March 31, 2023 compared to the same period in 2022. The net increase was primarily driven by our gathering and processing operations acquired in the Williston and Delaware Basins during 2022, partially offset by a reduction in operating cash flows from our Barnett and Marcellus operations which were divested during 2022. In addition, our general and administrative expenses decreased during the three months ended March 31, 2023 compared to the same period in 2022, primarily due to transaction costs incurred in connection with our strategic transactions executed during 2022.</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Investing Activities</w:t>
      </w:r>
      <w:r>
        <w:rPr>
          <w:color w:val="000000"/>
        </w:rPr>
        <w:t xml:space="preserve"> </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Capital Expenditures</w:t>
      </w:r>
      <w:r>
        <w:rPr>
          <w:rFonts w:ascii="Times New Roman;sans-serif" w:hAnsi="Times New Roman;sans-serif"/>
          <w:b w:val="false"/>
          <w:color w:val="000000"/>
          <w:sz w:val="20"/>
        </w:rPr>
        <w:t xml:space="preserve">. The energy midstream business is capital intensive, requiring significant investments for the acquisition or development of new facilities. We categorize our capital expenditures as either: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growth capital expenditures, which are made to construct additional assets, expand and upgrade existing systems, or acquire additional assets; or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 xml:space="preserve">maintenance capital expenditures, which are made to replace partially or fully depreciated assets, to maintain the existing operating capacity of our assets, extend their useful lives or comply with regulatory requirements.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growth and reimbursable capital expenditures during the year will increase the services we can provide to our customers and the operating efficiencies of our systems. We expect to finance our capital expenditures with a combination of cash generated by our operating subsidiaries, distributions received from our equity investments and borrowings under our credit facility. Additional commitments or expenditures will be made at our discretion, and any discontinuation of the construction of these projects could result in less future operating cash flows and earnings.</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val="false"/>
          <w:color w:val="000000"/>
          <w:sz w:val="20"/>
        </w:rPr>
        <w:t>The following table summarizes our capital expenditures for the three months ended March 31, 2023 (</w:t>
      </w:r>
      <w:r>
        <w:rPr>
          <w:rFonts w:ascii="Times New Roman;sans-serif" w:hAnsi="Times New Roman;sans-serif"/>
          <w:b w:val="false"/>
          <w:i/>
          <w:color w:val="000000"/>
          <w:sz w:val="20"/>
        </w:rPr>
        <w:t>in millions</w:t>
      </w:r>
      <w:r>
        <w:rPr>
          <w:rFonts w:ascii="Times New Roman;sans-serif" w:hAnsi="Times New Roman;sans-serif"/>
          <w:b w:val="false"/>
          <w:color w:val="000000"/>
          <w:sz w:val="20"/>
        </w:rPr>
        <w:t>):</w:t>
      </w:r>
    </w:p>
    <w:p>
      <w:pPr>
        <w:pStyle w:val="TextBody"/>
        <w:spacing w:before="0" w:after="0"/>
        <w:rPr/>
      </w:pPr>
      <w:r>
        <w:rPr/>
      </w:r>
    </w:p>
    <w:tbl>
      <w:tblPr>
        <w:tblW w:w="4505" w:type="dxa"/>
        <w:jc w:val="center"/>
        <w:tblInd w:w="0" w:type="dxa"/>
        <w:tblCellMar>
          <w:top w:w="28" w:type="dxa"/>
          <w:left w:w="28" w:type="dxa"/>
          <w:bottom w:w="28" w:type="dxa"/>
          <w:right w:w="28" w:type="dxa"/>
        </w:tblCellMar>
      </w:tblPr>
      <w:tblGrid>
        <w:gridCol w:w="1314"/>
        <w:gridCol w:w="1151"/>
        <w:gridCol w:w="1164"/>
        <w:gridCol w:w="211"/>
        <w:gridCol w:w="511"/>
        <w:gridCol w:w="154"/>
      </w:tblGrid>
      <w:tr>
        <w:trPr/>
        <w:tc>
          <w:tcPr>
            <w:tcW w:w="1314" w:type="dxa"/>
            <w:tcBorders/>
            <w:shd w:fill="auto" w:val="clear"/>
            <w:vAlign w:val="center"/>
          </w:tcPr>
          <w:p>
            <w:pPr>
              <w:pStyle w:val="TableContents"/>
              <w:spacing w:before="0" w:after="283"/>
              <w:rPr>
                <w:sz w:val="4"/>
                <w:szCs w:val="4"/>
              </w:rPr>
            </w:pPr>
            <w:r>
              <w:rPr>
                <w:sz w:val="4"/>
                <w:szCs w:val="4"/>
              </w:rPr>
            </w:r>
          </w:p>
        </w:tc>
        <w:tc>
          <w:tcPr>
            <w:tcW w:w="1151" w:type="dxa"/>
            <w:tcBorders/>
            <w:shd w:fill="auto" w:val="clear"/>
            <w:vAlign w:val="center"/>
          </w:tcPr>
          <w:p>
            <w:pPr>
              <w:pStyle w:val="TableContents"/>
              <w:spacing w:before="0" w:after="283"/>
              <w:rPr>
                <w:sz w:val="4"/>
                <w:szCs w:val="4"/>
              </w:rPr>
            </w:pPr>
            <w:r>
              <w:rPr>
                <w:sz w:val="4"/>
                <w:szCs w:val="4"/>
              </w:rPr>
            </w:r>
          </w:p>
        </w:tc>
        <w:tc>
          <w:tcPr>
            <w:tcW w:w="1164"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511"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Growth capital</w:t>
            </w:r>
            <w:r>
              <w:rPr>
                <w:rFonts w:ascii="Times New Roman;sans-serif" w:hAnsi="Times New Roman;sans-serif"/>
                <w:b w:val="false"/>
                <w:color w:val="000000"/>
                <w:sz w:val="13"/>
              </w:rPr>
              <w:t>(1)</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capital</w:t>
            </w:r>
          </w:p>
        </w:tc>
        <w:tc>
          <w:tcPr>
            <w:tcW w:w="72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Other</w:t>
            </w:r>
            <w:r>
              <w:rPr>
                <w:rFonts w:ascii="Times New Roman;sans-serif" w:hAnsi="Times New Roman;sans-serif"/>
                <w:b w:val="false"/>
                <w:color w:val="000000"/>
                <w:sz w:val="13"/>
              </w:rPr>
              <w:t>(2)</w:t>
            </w:r>
          </w:p>
        </w:tc>
        <w:tc>
          <w:tcPr>
            <w:tcW w:w="72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Purchases of property, plant and equipment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r>
        <w:trPr/>
        <w:tc>
          <w:tcPr>
            <w:tcW w:w="3629" w:type="dxa"/>
            <w:gridSpan w:val="3"/>
            <w:tcBorders/>
            <w:shd w:fill="auto" w:val="clear"/>
            <w:vAlign w:val="center"/>
          </w:tcPr>
          <w:p>
            <w:pPr>
              <w:pStyle w:val="TableContents"/>
              <w:spacing w:before="0" w:after="283"/>
              <w:rPr>
                <w:sz w:val="4"/>
                <w:szCs w:val="4"/>
              </w:rPr>
            </w:pPr>
            <w:r>
              <w:rPr>
                <w:sz w:val="4"/>
                <w:szCs w:val="4"/>
              </w:rPr>
            </w:r>
          </w:p>
        </w:tc>
        <w:tc>
          <w:tcPr>
            <w:tcW w:w="87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(1)Includes payments of approximately $21 million related to litigation on the construction of the Bear Den II cryogenic processing plant.</w:t>
      </w:r>
    </w:p>
    <w:p>
      <w:pPr>
        <w:pStyle w:val="TextBody"/>
        <w:spacing w:lineRule="auto" w:line="288" w:before="60" w:after="283"/>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(2)Represents purchases of property, plant and equipment that are reimbursable by third parties. </w:t>
      </w:r>
    </w:p>
    <w:p>
      <w:pPr>
        <w:pStyle w:val="TextBody"/>
        <w:spacing w:before="0" w:after="0"/>
        <w:rPr/>
      </w:pPr>
      <w:r>
        <w:rPr/>
      </w:r>
    </w:p>
    <w:p>
      <w:pPr>
        <w:pStyle w:val="TextBody"/>
        <w:spacing w:lineRule="auto" w:line="268" w:before="0" w:after="0"/>
        <w:rPr/>
      </w:pPr>
      <w:r>
        <w:rPr>
          <w:rFonts w:ascii="Times New Roman;sans-serif" w:hAnsi="Times New Roman;sans-serif"/>
          <w:b w:val="false"/>
          <w:i/>
          <w:color w:val="000000"/>
          <w:sz w:val="20"/>
        </w:rPr>
        <w:t>Acquisition</w:t>
      </w:r>
      <w:r>
        <w:rPr>
          <w:rFonts w:ascii="Times New Roman;sans-serif" w:hAnsi="Times New Roman;sans-serif"/>
          <w:b w:val="false"/>
          <w:color w:val="000000"/>
          <w:sz w:val="20"/>
        </w:rPr>
        <w:t>. In February 2022, we acquired Oasis Midstream, which included cash consideration of $160 million, net of cash acquired of approximately $14.9 million.</w:t>
      </w:r>
    </w:p>
    <w:p>
      <w:pPr>
        <w:pStyle w:val="TextBody"/>
        <w:spacing w:before="0" w:after="0"/>
        <w:rPr/>
      </w:pPr>
      <w:r>
        <w:rPr/>
      </w:r>
    </w:p>
    <w:p>
      <w:pPr>
        <w:pStyle w:val="TextBody"/>
        <w:spacing w:lineRule="auto" w:line="288" w:before="0" w:after="0"/>
        <w:rPr/>
      </w:pPr>
      <w:r>
        <w:rPr>
          <w:rFonts w:ascii="Times New Roman;sans-serif" w:hAnsi="Times New Roman;sans-serif"/>
          <w:b w:val="false"/>
          <w:i/>
          <w:color w:val="000000"/>
          <w:sz w:val="20"/>
        </w:rPr>
        <w:t>Investments in Unconsolidated Affiliates</w:t>
      </w:r>
      <w:r>
        <w:rPr>
          <w:rFonts w:ascii="Times New Roman;sans-serif" w:hAnsi="Times New Roman;sans-serif"/>
          <w:b w:val="false"/>
          <w:color w:val="000000"/>
          <w:sz w:val="20"/>
        </w:rPr>
        <w:t xml:space="preserve">. Pursuant to our joint venture agreements with our respective equity investments, we periodically make contributions to our equity investments to fund their expansion projects and for other operating purposes. During the three months ended March 31, 2023 and 2022, we contributed approximately $5.1 million and $14.5 million to our equity investments. </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equity and debt transactions impacted our financing activities during the three months ended March 31, 2023 compared to the same period in 2022: </w:t>
      </w:r>
    </w:p>
    <w:p>
      <w:pPr>
        <w:pStyle w:val="TextBody"/>
        <w:spacing w:before="0" w:after="0"/>
        <w:rPr/>
      </w:pPr>
      <w:r>
        <w:rPr/>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During the three months ended March 31, 2023, distributions to our partners increased by approximately $8 million compared to the same period in 2022, primarily due to an increase in common units outstanding as a result of the units issued in conjunction with our strategic transactions during 2022, as well as an increase in our distribution per limited partner unit from $0.625 per unit to $0.655 per unit;</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 xml:space="preserve">During the three months ended March 31, 2023, we received approximately $592.5 million from the issuance of the 2031 Senior Notes; </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During the three months ended March 31, 2022, we borrowed amounts under the Crestwood Midstream credit facility to (i) fund $160.0 million of cash consideration paid in conjunction with the merger with Oasis Midstream; and (ii) to repay approximately $218.4 million outstanding under the credit facility acquired in conjunction with the merger with Oasis Midstream; and</w:t>
      </w:r>
    </w:p>
    <w:p>
      <w:pPr>
        <w:pStyle w:val="TextBody"/>
        <w:spacing w:lineRule="auto" w:line="288" w:before="120" w:after="283"/>
        <w:ind w:left="0" w:right="0" w:hanging="360"/>
        <w:rPr/>
      </w:pPr>
      <w:r>
        <w:rPr>
          <w:color w:val="000000"/>
        </w:rPr>
        <w:t>•</w:t>
      </w:r>
      <w:r>
        <w:rPr>
          <w:rFonts w:ascii="Times New Roman;sans-serif" w:hAnsi="Times New Roman;sans-serif"/>
          <w:b w:val="false"/>
          <w:color w:val="000000"/>
          <w:sz w:val="20"/>
        </w:rPr>
        <w:t>During the three months ended March 31, 2023, our other debt-related transactions resulted in net repayments under our credit facilities of approximately $657.1 million compared to net repayments of approximately $100.0 million during the same period in 2022.</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Guarantor Summarized Financial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Crestwood Midstream and Crestwood Midstream Finance Corp. are issuers of our debt securities (the Issuers). Crestwood Midstream is a holding company and owns no operating assets and has no significant operations independent of its subsidiaries. Crestwood Midstream Finance Corp. is Crestwood Midstream’s 100% owned subsidiary and has no material assets or operations other than those related to its service as co-issuer of our senior notes. Obligations under Crestwood Midstream’s senior notes and its credit facility are jointly and severally guaranteed by substantially all of its subsidiaries (collectively, the Guarantor Subsidiaries), except for Crestwood Infrastructure Holdings LLC, Crestwood Niobrara LLC, Powder River Basin Industrial Complex LLC, and Tres Palacios Holdings LLC and their respective subsidiaries (collectively, Non-Guarantor Subsidiaries). The assets and credit of our Non-Guarantor Subsidiaries are not available to satisfy the debts of the Issuers or Guarantor Subsidiaries, and the liabilities of our Non-Guarantor Subsidiaries do not constitute obligations of the Issuers or Guarantor Subsidiaries. In January 2023, Crestwood Permian and certain of its subsidiaries were designated as Guarantor Subsidiaries of Crestwood Midstream’s senior notes and its credit facility. For additional information regarding the Crestwood Midstream credit facility and senior notes and related guarantees, see our 2022 Annual Report on Form 10-K.</w:t>
      </w:r>
    </w:p>
    <w:p>
      <w:pPr>
        <w:pStyle w:val="TextBody"/>
        <w:spacing w:before="0" w:after="0"/>
        <w:rPr/>
      </w:pPr>
      <w:r>
        <w:rPr/>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The following tables provide summarized financial information for the Issuers and Guarantor Subsidiaries (collectively, the Obligor Group) on a combined basis after elimination of significant intercompany balances and transactions between entities in the Obligor Group. The investment balances in the Non-Guarantor Subsidiaries have been excluded from the supplemental summarized combined financial information. Transactions with other related parties, including the Non-Guarantor Subsidiaries, represent affiliate transactions and are presented separately in the summarized combined financial information below.</w:t>
      </w:r>
    </w:p>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Summarized Combined Balance Sheet Information (in millions)</w:t>
      </w:r>
    </w:p>
    <w:tbl>
      <w:tblPr>
        <w:tblW w:w="6235" w:type="dxa"/>
        <w:jc w:val="left"/>
        <w:tblInd w:w="0" w:type="dxa"/>
        <w:tblCellMar>
          <w:top w:w="28" w:type="dxa"/>
          <w:left w:w="28" w:type="dxa"/>
          <w:bottom w:w="28" w:type="dxa"/>
          <w:right w:w="28" w:type="dxa"/>
        </w:tblCellMar>
      </w:tblPr>
      <w:tblGrid>
        <w:gridCol w:w="1095"/>
        <w:gridCol w:w="964"/>
        <w:gridCol w:w="971"/>
        <w:gridCol w:w="250"/>
        <w:gridCol w:w="910"/>
        <w:gridCol w:w="129"/>
        <w:gridCol w:w="109"/>
        <w:gridCol w:w="109"/>
        <w:gridCol w:w="109"/>
        <w:gridCol w:w="296"/>
        <w:gridCol w:w="1077"/>
        <w:gridCol w:w="216"/>
      </w:tblGrid>
      <w:tr>
        <w:trPr/>
        <w:tc>
          <w:tcPr>
            <w:tcW w:w="1095" w:type="dxa"/>
            <w:tcBorders/>
            <w:shd w:fill="auto" w:val="clear"/>
            <w:vAlign w:val="center"/>
          </w:tcPr>
          <w:p>
            <w:pPr>
              <w:pStyle w:val="TableContents"/>
              <w:spacing w:before="0" w:after="283"/>
              <w:rPr>
                <w:sz w:val="4"/>
                <w:szCs w:val="4"/>
              </w:rPr>
            </w:pPr>
            <w:r>
              <w:rPr>
                <w:sz w:val="4"/>
                <w:szCs w:val="4"/>
              </w:rPr>
            </w:r>
          </w:p>
        </w:tc>
        <w:tc>
          <w:tcPr>
            <w:tcW w:w="964" w:type="dxa"/>
            <w:tcBorders/>
            <w:shd w:fill="auto" w:val="clear"/>
            <w:vAlign w:val="center"/>
          </w:tcPr>
          <w:p>
            <w:pPr>
              <w:pStyle w:val="TableContents"/>
              <w:spacing w:before="0" w:after="283"/>
              <w:rPr>
                <w:sz w:val="4"/>
                <w:szCs w:val="4"/>
              </w:rPr>
            </w:pPr>
            <w:r>
              <w:rPr>
                <w:sz w:val="4"/>
                <w:szCs w:val="4"/>
              </w:rPr>
            </w:r>
          </w:p>
        </w:tc>
        <w:tc>
          <w:tcPr>
            <w:tcW w:w="971"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910" w:type="dxa"/>
            <w:tcBorders/>
            <w:shd w:fill="auto" w:val="clear"/>
            <w:vAlign w:val="center"/>
          </w:tcPr>
          <w:p>
            <w:pPr>
              <w:pStyle w:val="TableContents"/>
              <w:spacing w:before="0" w:after="283"/>
              <w:rPr>
                <w:sz w:val="4"/>
                <w:szCs w:val="4"/>
              </w:rPr>
            </w:pPr>
            <w:r>
              <w:rPr>
                <w:sz w:val="4"/>
                <w:szCs w:val="4"/>
              </w:rPr>
            </w:r>
          </w:p>
        </w:tc>
        <w:tc>
          <w:tcPr>
            <w:tcW w:w="12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77"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r>
      <w:tr>
        <w:trPr/>
        <w:tc>
          <w:tcPr>
            <w:tcW w:w="30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58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483.9 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 - affiliates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3,806.6 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3,295.8 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1,004.5 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1,012.9 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 - affiliates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less current portion</w:t>
            </w:r>
          </w:p>
        </w:tc>
        <w:tc>
          <w:tcPr>
            <w:tcW w:w="250"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3,314.5 </w:t>
            </w:r>
          </w:p>
        </w:tc>
        <w:tc>
          <w:tcPr>
            <w:tcW w:w="12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3,171.5 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3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25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1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195.8 </w:t>
            </w:r>
          </w:p>
        </w:tc>
        <w:tc>
          <w:tcPr>
            <w:tcW w:w="12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147.6 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0"/>
        <w:rPr>
          <w:rFonts w:ascii="Times New Roman;sans-serif" w:hAnsi="Times New Roman;sans-serif"/>
          <w:b w:val="false"/>
          <w:i/>
          <w:color w:val="000000"/>
          <w:sz w:val="20"/>
        </w:rPr>
      </w:pPr>
      <w:r>
        <w:rPr>
          <w:rFonts w:ascii="Times New Roman;sans-serif" w:hAnsi="Times New Roman;sans-serif"/>
          <w:b w:val="false"/>
          <w:i/>
          <w:color w:val="000000"/>
          <w:sz w:val="20"/>
        </w:rPr>
        <w:t>Summarized Combined Statement of Operations Information (in millions)</w:t>
      </w:r>
    </w:p>
    <w:tbl>
      <w:tblPr>
        <w:tblW w:w="6434" w:type="dxa"/>
        <w:jc w:val="left"/>
        <w:tblInd w:w="0" w:type="dxa"/>
        <w:tblCellMar>
          <w:top w:w="28" w:type="dxa"/>
          <w:left w:w="28" w:type="dxa"/>
          <w:bottom w:w="28" w:type="dxa"/>
          <w:right w:w="28" w:type="dxa"/>
        </w:tblCellMar>
      </w:tblPr>
      <w:tblGrid>
        <w:gridCol w:w="1233"/>
        <w:gridCol w:w="1079"/>
        <w:gridCol w:w="1093"/>
        <w:gridCol w:w="565"/>
        <w:gridCol w:w="2052"/>
        <w:gridCol w:w="412"/>
      </w:tblGrid>
      <w:tr>
        <w:trPr/>
        <w:tc>
          <w:tcPr>
            <w:tcW w:w="1233" w:type="dxa"/>
            <w:tcBorders/>
            <w:shd w:fill="auto" w:val="clear"/>
            <w:vAlign w:val="center"/>
          </w:tcPr>
          <w:p>
            <w:pPr>
              <w:pStyle w:val="TableContents"/>
              <w:spacing w:before="0" w:after="283"/>
              <w:rPr>
                <w:sz w:val="4"/>
                <w:szCs w:val="4"/>
              </w:rPr>
            </w:pPr>
            <w:r>
              <w:rPr>
                <w:sz w:val="4"/>
                <w:szCs w:val="4"/>
              </w:rPr>
            </w:r>
          </w:p>
        </w:tc>
        <w:tc>
          <w:tcPr>
            <w:tcW w:w="1079" w:type="dxa"/>
            <w:tcBorders/>
            <w:shd w:fill="auto" w:val="clear"/>
            <w:vAlign w:val="center"/>
          </w:tcPr>
          <w:p>
            <w:pPr>
              <w:pStyle w:val="TableContents"/>
              <w:spacing w:before="0" w:after="283"/>
              <w:rPr>
                <w:sz w:val="4"/>
                <w:szCs w:val="4"/>
              </w:rPr>
            </w:pPr>
            <w:r>
              <w:rPr>
                <w:sz w:val="4"/>
                <w:szCs w:val="4"/>
              </w:rPr>
            </w:r>
          </w:p>
        </w:tc>
        <w:tc>
          <w:tcPr>
            <w:tcW w:w="1093" w:type="dxa"/>
            <w:tcBorders/>
            <w:shd w:fill="auto" w:val="clear"/>
            <w:vAlign w:val="center"/>
          </w:tcPr>
          <w:p>
            <w:pPr>
              <w:pStyle w:val="TableContents"/>
              <w:spacing w:before="0" w:after="283"/>
              <w:rPr>
                <w:sz w:val="4"/>
                <w:szCs w:val="4"/>
              </w:rPr>
            </w:pPr>
            <w:r>
              <w:rPr>
                <w:sz w:val="4"/>
                <w:szCs w:val="4"/>
              </w:rPr>
            </w:r>
          </w:p>
        </w:tc>
        <w:tc>
          <w:tcPr>
            <w:tcW w:w="565" w:type="dxa"/>
            <w:tcBorders/>
            <w:shd w:fill="auto" w:val="clear"/>
            <w:vAlign w:val="center"/>
          </w:tcPr>
          <w:p>
            <w:pPr>
              <w:pStyle w:val="TableContents"/>
              <w:spacing w:before="0" w:after="283"/>
              <w:rPr>
                <w:sz w:val="4"/>
                <w:szCs w:val="4"/>
              </w:rPr>
            </w:pPr>
            <w:r>
              <w:rPr>
                <w:sz w:val="4"/>
                <w:szCs w:val="4"/>
              </w:rPr>
            </w:r>
          </w:p>
        </w:tc>
        <w:tc>
          <w:tcPr>
            <w:tcW w:w="2052" w:type="dxa"/>
            <w:tcBorders/>
            <w:shd w:fill="auto" w:val="clear"/>
            <w:vAlign w:val="center"/>
          </w:tcPr>
          <w:p>
            <w:pPr>
              <w:pStyle w:val="TableContents"/>
              <w:spacing w:before="0" w:after="283"/>
              <w:rPr>
                <w:sz w:val="4"/>
                <w:szCs w:val="4"/>
              </w:rPr>
            </w:pPr>
            <w:r>
              <w:rPr>
                <w:sz w:val="4"/>
                <w:szCs w:val="4"/>
              </w:rPr>
            </w:r>
          </w:p>
        </w:tc>
        <w:tc>
          <w:tcPr>
            <w:tcW w:w="412" w:type="dxa"/>
            <w:tcBorders/>
            <w:shd w:fill="auto" w:val="clear"/>
            <w:vAlign w:val="center"/>
          </w:tcPr>
          <w:p>
            <w:pPr>
              <w:pStyle w:val="TableContents"/>
              <w:spacing w:before="0" w:after="283"/>
              <w:rPr>
                <w:sz w:val="4"/>
                <w:szCs w:val="4"/>
              </w:rPr>
            </w:pPr>
            <w:r>
              <w:rPr>
                <w:sz w:val="4"/>
                <w:szCs w:val="4"/>
              </w:rPr>
            </w:r>
          </w:p>
        </w:tc>
      </w:tr>
      <w:tr>
        <w:trPr/>
        <w:tc>
          <w:tcPr>
            <w:tcW w:w="340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0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56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1,242.8 </w:t>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 - affiliates</w:t>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products/services sold</w:t>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992.3 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products/services sold - affiliates</w:t>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Operations and maintenance expenses</w:t>
            </w:r>
            <w:r>
              <w:rPr>
                <w:rFonts w:ascii="Times New Roman;sans-serif" w:hAnsi="Times New Roman;sans-serif"/>
                <w:b w:val="false"/>
                <w:color w:val="000000"/>
                <w:sz w:val="13"/>
              </w:rPr>
              <w:t>(1)</w:t>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General and administrative expenses</w:t>
            </w:r>
            <w:r>
              <w:rPr>
                <w:rFonts w:ascii="Times New Roman;sans-serif" w:hAnsi="Times New Roman;sans-serif"/>
                <w:b w:val="false"/>
                <w:color w:val="000000"/>
                <w:sz w:val="13"/>
              </w:rPr>
              <w:t>(2)</w:t>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56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97.8 </w:t>
            </w:r>
          </w:p>
        </w:tc>
        <w:tc>
          <w:tcPr>
            <w:tcW w:w="412"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565"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052"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41.8 </w:t>
            </w:r>
          </w:p>
        </w:tc>
        <w:tc>
          <w:tcPr>
            <w:tcW w:w="412"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ind w:left="0" w:right="0" w:hanging="360"/>
        <w:rPr/>
      </w:pPr>
      <w:r>
        <w:rPr/>
      </w:r>
    </w:p>
    <w:p>
      <w:pPr>
        <w:pStyle w:val="TextBody"/>
        <w:spacing w:lineRule="auto" w:line="276" w:before="0" w:after="6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(1)    We have operating agreements with certain of our affiliates pursuant to which we charge them operations and maintenance expenses in accordance with their respective agreements, and these charges are reflected as a reduction of operations and maintenance expenses in our consolidated statements of operations. During the three months ended March 31, 2023, we charged $5.0 million to our affiliates under these agreements.</w:t>
      </w:r>
    </w:p>
    <w:p>
      <w:pPr>
        <w:pStyle w:val="TextBody"/>
        <w:spacing w:lineRule="auto" w:line="288" w:before="0" w:after="0"/>
        <w:ind w:left="0" w:right="0" w:hanging="360"/>
        <w:rPr>
          <w:rFonts w:ascii="Times New Roman;sans-serif" w:hAnsi="Times New Roman;sans-serif"/>
          <w:b w:val="false"/>
          <w:color w:val="000000"/>
          <w:sz w:val="16"/>
        </w:rPr>
      </w:pPr>
      <w:r>
        <w:rPr>
          <w:rFonts w:ascii="Times New Roman;sans-serif" w:hAnsi="Times New Roman;sans-serif"/>
          <w:b w:val="false"/>
          <w:color w:val="000000"/>
          <w:sz w:val="16"/>
        </w:rPr>
        <w:t xml:space="preserve">(2)    Includes $8.9 million of net general and administrative expenses that were charged by our affiliates to us. </w:t>
      </w:r>
    </w:p>
    <w:p>
      <w:pPr>
        <w:pStyle w:val="TextBody"/>
        <w:spacing w:before="0" w:after="0"/>
        <w:ind w:left="0" w:right="0" w:hanging="360"/>
        <w:rPr/>
      </w:pPr>
      <w:r>
        <w:rPr/>
      </w:r>
    </w:p>
    <w:p>
      <w:pPr>
        <w:pStyle w:val="TextBody"/>
        <w:spacing w:before="0" w:after="0"/>
        <w:ind w:left="0" w:right="0" w:hanging="36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3.Quantitative and Qualitative Disclosures About Market Risk</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Our interest rate risk and commodity price, market and credit risks are discussed in our 2022 Annual Report on Form 10-K. There have been no material changes in those exposures from December 31, 2022 to March 31, 2023.</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4.Controls and Procedures</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 xml:space="preserve">Disclosure Controls and Procedures </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2023, Crestwood Equity and Crestwood Midstream carried out an evaluation under the supervision and with the participation of their respective management, including the Chief Executive Officer and Chief Financial Officer of their General Partners, as to the effectiveness, design and operation of our disclosure controls and procedures (as defined in the Securities Exchange Act of 1934, as amended (Exchange Act) Rules 13a-15(e) and 15d-15(e)). Crestwood Equity and Crestwood Midstream maintain controls and procedures designed to provide reasonable assurance that information required to be disclosed in their respective reports that are filed or submitted under the Exchange Act of 1934, as amended, are recorded, processed, summarized and reported within the time periods specified by the rules and forms of the SEC, and that information is accumulated and communicated to their respective management, including the Chief Executive Officer and Chief Financial Officer of their General Partners, as appropriate, to allow timely decisions regarding required disclosure. Such management, </w:t>
      </w: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including the Chief Executive Officer and Chief Financial Officer of their General Partners, does not expect that the disclosure controls and procedures or the internal controls will prevent and/or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Crestwood Equity’s and Crestwood Midstream’s disclosure controls and procedures are designed to provide reasonable assurance of achieving their objectives and the Chief Executive Officer and Chief Financial Officer of their General Partners concluded that our disclosure controls and procedures were effective at the reasonable assurance level as of March 31, 2023. </w:t>
      </w:r>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in Crestwood Equity’s or Crestwood Midstream’s internal control over financial reporting during the three months ended March 31, 2023 that have materially affected, or are reasonably likely to materially affect Crestwood Equity’s or Crestwood Midstream’s internal control over financial reporting.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rFonts w:ascii="Times New Roman;sans-serif" w:hAnsi="Times New Roman;sans-serif"/>
          <w:b/>
          <w:color w:val="000000"/>
          <w:sz w:val="20"/>
        </w:rPr>
      </w:pPr>
      <w:r>
        <w:rPr>
          <w:rFonts w:ascii="Times New Roman;sans-serif" w:hAnsi="Times New Roman;sans-serif"/>
          <w:b/>
          <w:color w:val="000000"/>
          <w:sz w:val="20"/>
        </w:rPr>
        <w:t>PART II – OTHER INFORMATION</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1.Legal Proceedings</w:t>
      </w:r>
    </w:p>
    <w:p>
      <w:pPr>
        <w:pStyle w:val="TextBody"/>
        <w:spacing w:before="0" w:after="0"/>
        <w:ind w:left="0" w:right="0" w:firstLine="99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Part I, Item 1. Financial Statements, Note 9 to the Consolidated Financial Statements, of this Form 10-Q is incorporated herein by reference.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810"/>
        <w:rPr>
          <w:rFonts w:ascii="Times New Roman;sans-serif" w:hAnsi="Times New Roman;sans-serif"/>
          <w:b/>
          <w:color w:val="000000"/>
          <w:sz w:val="20"/>
        </w:rPr>
      </w:pPr>
      <w:r>
        <w:rPr>
          <w:rFonts w:ascii="Times New Roman;sans-serif" w:hAnsi="Times New Roman;sans-serif"/>
          <w:b/>
          <w:color w:val="000000"/>
          <w:sz w:val="20"/>
        </w:rPr>
        <w:t>Item 1A.Risk Factors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faces many risks. Any of the risks discussed elsewhere in this Form 10-Q or our other SEC filings could have a material impact on our business, financial position or results of operations. Additional risks and uncertainties not presently known to us or that we currently believe to be immaterial may also impair our business operations. For a detailed discussion of the risk factors that should be understood by any investor contemplating investment in our common units, see Part I, Item 1A. Risk Factors in our 2022 Annual Report on Form 10-K. </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2.Unregistered Sales of Equity Securities and Use of Proceeds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3.Defaults Upon Senior Securities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4.Mine Safety Disclosures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pStyle w:val="TextBody"/>
        <w:spacing w:before="0" w:after="0"/>
        <w:rPr/>
      </w:pPr>
      <w:r>
        <w:rPr/>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ind w:left="0" w:right="0" w:hanging="720"/>
        <w:rPr>
          <w:rFonts w:ascii="Times New Roman;sans-serif" w:hAnsi="Times New Roman;sans-serif"/>
          <w:b/>
          <w:color w:val="000000"/>
          <w:sz w:val="20"/>
        </w:rPr>
      </w:pPr>
      <w:r>
        <w:rPr>
          <w:rFonts w:ascii="Times New Roman;sans-serif" w:hAnsi="Times New Roman;sans-serif"/>
          <w:b/>
          <w:color w:val="000000"/>
          <w:sz w:val="20"/>
        </w:rPr>
        <w:t>Item 5.Other Information</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rPr/>
      </w:pPr>
      <w:r>
        <w:rPr>
          <w:rFonts w:ascii="Times New Roman;sans-serif" w:hAnsi="Times New Roman;sans-serif"/>
          <w:b/>
          <w:color w:val="000000"/>
          <w:sz w:val="20"/>
        </w:rPr>
        <w:t>Item 6.</w:t>
      </w:r>
      <w:r>
        <w:rPr>
          <w:rFonts w:ascii="Times New Roman;sans-serif" w:hAnsi="Times New Roman;sans-serif"/>
          <w:b/>
          <w:color w:val="000000"/>
          <w:sz w:val="20"/>
        </w:rPr>
        <w:t>Exhibits</w:t>
      </w:r>
    </w:p>
    <w:tbl>
      <w:tblPr>
        <w:tblW w:w="10205" w:type="dxa"/>
        <w:jc w:val="left"/>
        <w:tblInd w:w="0" w:type="dxa"/>
        <w:tblCellMar>
          <w:top w:w="28" w:type="dxa"/>
          <w:left w:w="28" w:type="dxa"/>
          <w:bottom w:w="28" w:type="dxa"/>
          <w:right w:w="28" w:type="dxa"/>
        </w:tblCellMar>
      </w:tblPr>
      <w:tblGrid>
        <w:gridCol w:w="255"/>
        <w:gridCol w:w="225"/>
        <w:gridCol w:w="226"/>
        <w:gridCol w:w="109"/>
        <w:gridCol w:w="109"/>
        <w:gridCol w:w="109"/>
        <w:gridCol w:w="2673"/>
        <w:gridCol w:w="2673"/>
        <w:gridCol w:w="3826"/>
      </w:tblGrid>
      <w:tr>
        <w:trPr/>
        <w:tc>
          <w:tcPr>
            <w:tcW w:w="25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3826" w:type="dxa"/>
            <w:tcBorders/>
            <w:shd w:fill="auto" w:val="cle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Exhibit</w:t>
              <w:br/>
              <w:t>Number</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u w:val="single"/>
              </w:rPr>
            </w:pPr>
            <w:r>
              <w:rPr>
                <w:rFonts w:ascii="Times New Roman;sans-serif" w:hAnsi="Times New Roman;sans-serif"/>
                <w:b/>
                <w:color w:val="000000"/>
                <w:sz w:val="16"/>
                <w:u w:val="single"/>
              </w:rPr>
              <w:t>Description</w:t>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
              <w:r>
                <w:rPr>
                  <w:rStyle w:val="InternetLink"/>
                  <w:rFonts w:ascii="Times New Roman;sans-serif" w:hAnsi="Times New Roman;sans-serif"/>
                  <w:b w:val="false"/>
                  <w:color w:val="0000FF"/>
                  <w:sz w:val="20"/>
                  <w:u w:val="single"/>
                </w:rPr>
                <w:t>Purchase and Sale Agreement, dated as of May 31, 2021 among Con Edison Gas Pipeline and Storage Northeast, LLC, Crestwood Pipeline and Storage Northeast LLC, as the Sellers, Stagecoach Gas Services LLC as the Company, Kinder Morgan Operating LLC “A” as Buyer, Con Edison Transmission, Inc. (solely for the limited purposes set forth therein) and Crestwood Midstream Partners LP (solely for the limited purposes set forth therein) (incorporated by reference to Exhibit 2.1 to Crestwood Equity Partners LP’s Form 8-K filed on June 1, 2021)</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3">
              <w:r>
                <w:rPr>
                  <w:rStyle w:val="InternetLink"/>
                  <w:rFonts w:ascii="Times New Roman;sans-serif" w:hAnsi="Times New Roman;sans-serif"/>
                  <w:b w:val="false"/>
                  <w:color w:val="0000FF"/>
                  <w:sz w:val="20"/>
                  <w:u w:val="single"/>
                </w:rPr>
                <w:t>Equity Purchase Agreement, dated as of May 25, 2022, by and among Sendero Midstream Partners, LP, Energy Capital Partners III, LP, Energy Capital Partners III-A, LP, Energy Capital Partners III-B (Sendero IP), LP, Energy Capital Partners III-C (Sendero IP), LP, Carlsbad Co-Invest, LP, ECP III (Sendero Co-Invest) Corp, Sendero Midstream Management, LLC, Sendero Midstream GP, LLC, Crestwood Midstream Partners LP, Crestwood Sendero GP LLC, and Crestwood Equity Partners LP (solely for the limited purposes set forth therein) (incorporated by reference to Exhibit 2.1 to Crestwood Equity Partners LP’s Form 8-K filed on May 26,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4">
              <w:r>
                <w:rPr>
                  <w:rStyle w:val="InternetLink"/>
                  <w:rFonts w:ascii="Times New Roman;sans-serif" w:hAnsi="Times New Roman;sans-serif"/>
                  <w:b w:val="false"/>
                  <w:color w:val="0000FF"/>
                  <w:sz w:val="20"/>
                  <w:u w:val="single"/>
                </w:rPr>
                <w:t>Contribution Agreement, dated as of May 25, 2022, by and between FR XIII Crestwood Permian Basin Holdings LLC and Crestwood Equity Partners LP (incorporated by reference to Exhibit 2.2 to Crestwood Equity Partners LP’s Form 8-K filed on May 26, 2022)</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5">
              <w:r>
                <w:rPr>
                  <w:rStyle w:val="InternetLink"/>
                  <w:rFonts w:ascii="Times New Roman;sans-serif" w:hAnsi="Times New Roman;sans-serif"/>
                  <w:b w:val="false"/>
                  <w:color w:val="0000FF"/>
                  <w:sz w:val="20"/>
                  <w:u w:val="single"/>
                </w:rPr>
                <w:t>Certificate of Limited Partnership of Inergy, L.P. (incorporated by reference to Exhibit 3.1 to Inergy, L.P.'s Registration Statement on Form S-1 filed on March 14, 2001)</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6">
              <w:r>
                <w:rPr>
                  <w:rStyle w:val="InternetLink"/>
                  <w:rFonts w:ascii="Times New Roman;sans-serif" w:hAnsi="Times New Roman;sans-serif"/>
                  <w:b w:val="false"/>
                  <w:color w:val="0000FF"/>
                  <w:sz w:val="20"/>
                  <w:u w:val="single"/>
                </w:rPr>
                <w:t>Certificate of Correction of Certificate of Limited Partnership of Inergy, L.P. (incorporated by reference to Exhibit 3.1 to Inergy, L.P.'s Form 10-Q filed on May 12, 2003)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7">
              <w:r>
                <w:rPr>
                  <w:rStyle w:val="InternetLink"/>
                  <w:rFonts w:ascii="Times New Roman;sans-serif" w:hAnsi="Times New Roman;sans-serif"/>
                  <w:b w:val="false"/>
                  <w:color w:val="0000FF"/>
                  <w:sz w:val="20"/>
                  <w:u w:val="single"/>
                </w:rPr>
                <w:t xml:space="preserve">Amendment to the Certificate of Limited Partnership of Crestwood Equity Partners LP (the “Company”) (f/k/a Inergy, L.P.) dated as of October 7, 2013 (incorporated herein by reference to Exhibit 3.2 to Crestwood Equity Partners LP's Form 8-K filed on October 10, 2013) </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8">
              <w:r>
                <w:rPr>
                  <w:rStyle w:val="InternetLink"/>
                  <w:rFonts w:ascii="Times New Roman;sans-serif" w:hAnsi="Times New Roman;sans-serif"/>
                  <w:b w:val="false"/>
                  <w:color w:val="0000FF"/>
                  <w:sz w:val="20"/>
                  <w:u w:val="single"/>
                </w:rPr>
                <w:t>Certificate of Formation of Inergy GP, LLC (incorporated by reference to Exhibit 3.5 to Inergy, L.P.'s Registration Statement on Form S-1/A filed on May 7, 2001)</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9">
              <w:r>
                <w:rPr>
                  <w:rStyle w:val="InternetLink"/>
                  <w:rFonts w:ascii="Times New Roman;sans-serif" w:hAnsi="Times New Roman;sans-serif"/>
                  <w:b w:val="false"/>
                  <w:color w:val="0000FF"/>
                  <w:sz w:val="20"/>
                  <w:u w:val="single"/>
                </w:rPr>
                <w:t>Certificate of Amendment of Crestwood Equity GP LLC (the “General Partner”) (f/k/a Inergy GP, LLC) dated as of October 7, 2013 (incorporated by reference to Exhibit 3.3A to Crestwood Equity Partners LP's Form 10-Q filed on November 8, 2013)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0">
              <w:r>
                <w:rPr>
                  <w:rStyle w:val="InternetLink"/>
                  <w:rFonts w:ascii="Times New Roman;sans-serif" w:hAnsi="Times New Roman;sans-serif"/>
                  <w:b w:val="false"/>
                  <w:color w:val="0000FF"/>
                  <w:sz w:val="20"/>
                  <w:u w:val="single"/>
                </w:rPr>
                <w:t xml:space="preserve">First Amended and Restated Limited Liability Company Agreement of Inergy GP, LLC dated as of September 27, 2012 (incorporated by reference to Exhibit 3.1 to Inergy, L.P.'s Form 8-K filed on September 27, 2012) </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1">
              <w:r>
                <w:rPr>
                  <w:rStyle w:val="InternetLink"/>
                  <w:rFonts w:ascii="Times New Roman;sans-serif" w:hAnsi="Times New Roman;sans-serif"/>
                  <w:b w:val="false"/>
                  <w:color w:val="0000FF"/>
                  <w:sz w:val="20"/>
                  <w:u w:val="single"/>
                </w:rPr>
                <w:t>Amendment No. 1 to the First Amended and Restated Limited Liability Company Agreement of the General Partner entered into and effective as of October 7, 2013 (incorporated by reference to Exhibit 3.4A to Crestwood Equity Partners LP's Form 10-Q filed on November 8, 2013)</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2">
              <w:r>
                <w:rPr>
                  <w:rStyle w:val="InternetLink"/>
                  <w:rFonts w:ascii="Times New Roman;sans-serif" w:hAnsi="Times New Roman;sans-serif"/>
                  <w:b w:val="false"/>
                  <w:color w:val="0000FF"/>
                  <w:sz w:val="20"/>
                  <w:u w:val="single"/>
                </w:rPr>
                <w:t>Fifth Amended and Restated Agreement of Limited Partnership of Crestwood Equity Partners LP dated as of April 11, 2014 (incorporated herein by reference to Exhibit 3.1 to Crestwood Equity Partners LP's Form 8-K filed on April 11, 2014)</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3">
              <w:r>
                <w:rPr>
                  <w:rStyle w:val="InternetLink"/>
                  <w:rFonts w:ascii="Times New Roman;sans-serif" w:hAnsi="Times New Roman;sans-serif"/>
                  <w:b w:val="false"/>
                  <w:color w:val="0000FF"/>
                  <w:sz w:val="20"/>
                  <w:u w:val="single"/>
                </w:rPr>
                <w:t>First Amendment to the Fifth Amended and Restated Agreement of Limited Partnership of Crestwood Equity Partners LP entered into and effective as of September 30, 2015 (incorporated by reference to Exhibit 3.1 to Crestwood Equity Partner LP’s Form 8-K filed on October 1, 2015)</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4">
              <w:r>
                <w:rPr>
                  <w:rStyle w:val="InternetLink"/>
                  <w:rFonts w:ascii="Times New Roman;sans-serif" w:hAnsi="Times New Roman;sans-serif"/>
                  <w:b w:val="false"/>
                  <w:color w:val="0000FF"/>
                  <w:sz w:val="20"/>
                  <w:u w:val="single"/>
                </w:rPr>
                <w:t>Second Amendment to the Fifth Amended and Restated Agreement of Limited Partnership of Crestwood Equity Partners LP entered into and effective as of November 8, 2017 (incorporated by reference to Exhibit 3.1 to Crestwood Equity Partners LP’s Form 8-K filed on November 13, 2017)</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5">
              <w:r>
                <w:rPr>
                  <w:rStyle w:val="InternetLink"/>
                  <w:rFonts w:ascii="Times New Roman;sans-serif" w:hAnsi="Times New Roman;sans-serif"/>
                  <w:b w:val="false"/>
                  <w:color w:val="0000FF"/>
                  <w:sz w:val="20"/>
                  <w:u w:val="single"/>
                </w:rPr>
                <w:t>Third Amendment to the Fifth Amended and Restated Agreement of Limited Partnership of Crestwood Equity Partners LP entered into and effective as of May 30, 2018 (incorporated by reference to Exhibit 3.1 to Crestwood Equity Partners LP’s Form 8-K filed on June 4, 2018)</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6">
              <w:r>
                <w:rPr>
                  <w:rStyle w:val="InternetLink"/>
                  <w:rFonts w:ascii="Times New Roman;sans-serif" w:hAnsi="Times New Roman;sans-serif"/>
                  <w:b w:val="false"/>
                  <w:color w:val="0000FF"/>
                  <w:sz w:val="20"/>
                  <w:u w:val="single"/>
                </w:rPr>
                <w:t>Second Amended and Restated Agreement of Limited Partnership of Crestwood Midstream Partners LP, dated as of September 30, 2015 (incorporated by reference to Exhibit 3.1 to Crestwood Midstream Partners LP's Form 8-K filed on October 1, 2015)</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0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7">
              <w:r>
                <w:rPr>
                  <w:rStyle w:val="InternetLink"/>
                  <w:rFonts w:ascii="Times New Roman;sans-serif" w:hAnsi="Times New Roman;sans-serif"/>
                  <w:b w:val="false"/>
                  <w:color w:val="0000FF"/>
                  <w:sz w:val="20"/>
                  <w:u w:val="single"/>
                </w:rPr>
                <w:t>Certificate of Formation of NRGM GP, LLC (incorporated herein by reference to Exhibit 3.7 to Inergy Midstream, L.P.'s Form S-1/A filed on November 21, 2011)</w:t>
              </w:r>
            </w:hyperlink>
          </w:p>
        </w:tc>
      </w:tr>
      <w:tr>
        <w:trPr/>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78"/>
        <w:gridCol w:w="246"/>
        <w:gridCol w:w="250"/>
        <w:gridCol w:w="109"/>
        <w:gridCol w:w="109"/>
        <w:gridCol w:w="109"/>
        <w:gridCol w:w="2753"/>
        <w:gridCol w:w="2629"/>
        <w:gridCol w:w="3722"/>
      </w:tblGrid>
      <w:tr>
        <w:trPr/>
        <w:tc>
          <w:tcPr>
            <w:tcW w:w="278"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53" w:type="dxa"/>
            <w:tcBorders/>
            <w:shd w:fill="auto" w:val="clear"/>
            <w:vAlign w:val="center"/>
          </w:tcPr>
          <w:p>
            <w:pPr>
              <w:pStyle w:val="TableContents"/>
              <w:spacing w:before="0" w:after="283"/>
              <w:rPr>
                <w:sz w:val="4"/>
                <w:szCs w:val="4"/>
              </w:rPr>
            </w:pPr>
            <w:r>
              <w:rPr>
                <w:sz w:val="4"/>
                <w:szCs w:val="4"/>
              </w:rPr>
            </w:r>
          </w:p>
        </w:tc>
        <w:tc>
          <w:tcPr>
            <w:tcW w:w="2629" w:type="dxa"/>
            <w:tcBorders/>
            <w:shd w:fill="auto" w:val="clear"/>
            <w:vAlign w:val="center"/>
          </w:tcPr>
          <w:p>
            <w:pPr>
              <w:pStyle w:val="TableContents"/>
              <w:spacing w:before="0" w:after="283"/>
              <w:rPr>
                <w:sz w:val="4"/>
                <w:szCs w:val="4"/>
              </w:rPr>
            </w:pPr>
            <w:r>
              <w:rPr>
                <w:sz w:val="4"/>
                <w:szCs w:val="4"/>
              </w:rPr>
            </w:r>
          </w:p>
        </w:tc>
        <w:tc>
          <w:tcPr>
            <w:tcW w:w="3722" w:type="dxa"/>
            <w:tcBorders/>
            <w:shd w:fill="auto" w:val="cle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8">
              <w:r>
                <w:rPr>
                  <w:rStyle w:val="InternetLink"/>
                  <w:rFonts w:ascii="Times New Roman;sans-serif" w:hAnsi="Times New Roman;sans-serif"/>
                  <w:b w:val="false"/>
                  <w:color w:val="0000FF"/>
                  <w:sz w:val="20"/>
                  <w:u w:val="single"/>
                </w:rPr>
                <w:t>Amended and Restated Limited Liability Company Agreement of NRGM GP, LLC, dated December 21, 2011 (incorporated herein by reference to Exhibit 3.2 to Inergy Midstream, L.P.'s Form 8-K filed on December 22, 2011)</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19">
              <w:r>
                <w:rPr>
                  <w:rStyle w:val="InternetLink"/>
                  <w:rFonts w:ascii="Times New Roman;sans-serif" w:hAnsi="Times New Roman;sans-serif"/>
                  <w:b w:val="false"/>
                  <w:color w:val="0000FF"/>
                  <w:sz w:val="20"/>
                  <w:u w:val="single"/>
                </w:rPr>
                <w:t>Amendment No. 1 to the Amended and Restated Limited Liability Company Agreement of Crestwood Midstream GP LLC (f/k/a NRGM GP, LLC) (incorporated herein by reference to Exhibit 3.39 to Crestwood Midstream Partners LP's Form S-4/A filed on October 28, 2013)</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0">
              <w:r>
                <w:rPr>
                  <w:rStyle w:val="InternetLink"/>
                  <w:rFonts w:ascii="Times New Roman;sans-serif" w:hAnsi="Times New Roman;sans-serif"/>
                  <w:b w:val="false"/>
                  <w:color w:val="0000FF"/>
                  <w:sz w:val="20"/>
                  <w:u w:val="single"/>
                </w:rPr>
                <w:t>Fourth Amendment to the Fifth Amended and Restated Agreement of Limited Partnership of Crestwood Equity Partners LP entered into and effective as of June 28, 2019 (incorporated by reference to Exhibit 3.1 to Crestwood Equity Partners LP’s Form 8-K filed on June 28, 2019)</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1">
              <w:r>
                <w:rPr>
                  <w:rStyle w:val="InternetLink"/>
                  <w:rFonts w:ascii="Times New Roman;sans-serif" w:hAnsi="Times New Roman;sans-serif"/>
                  <w:b w:val="false"/>
                  <w:color w:val="0000FF"/>
                  <w:sz w:val="20"/>
                  <w:u w:val="single"/>
                </w:rPr>
                <w:t>Sixth Amended and Restated Agreement of Limited Partnership of Crestwood Equity Partners LP dated August 20, 2021 (incorporated by reference to Exhibit 3.1 to Crestwood Equity Partners LP’s Form 8-K filed on August 20, 2021)</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2">
              <w:r>
                <w:rPr>
                  <w:rStyle w:val="InternetLink"/>
                  <w:rFonts w:ascii="Times New Roman;sans-serif" w:hAnsi="Times New Roman;sans-serif"/>
                  <w:b w:val="false"/>
                  <w:color w:val="0000FF"/>
                  <w:sz w:val="20"/>
                  <w:u w:val="single"/>
                </w:rPr>
                <w:t>Second Amended and Restated Limited Liability Company Agreement of Crestwood Equity GP LLC dated August 20, 2021 (incorporated by reference to Exhibit 3.2 to Crestwood Equity Partners LP’s Form 8-K on August 20, 2021)</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3">
              <w:r>
                <w:rPr>
                  <w:rStyle w:val="InternetLink"/>
                </w:rPr>
                <w:t>Indenture, dated as of January 19, 2023, among Crestwood Midstream Partners LP, Crestwood Midstream Finance Corp., the guarantors names therein and U.S. Bank Trust Company, National Association, as trustee (incorporated by reference to Exhibit 4.1 to Crestwood Equity Partners LP’s For</w:t>
              </w:r>
            </w:hyperlink>
            <w:hyperlink r:id="rId24">
              <w:r>
                <w:rPr>
                  <w:rStyle w:val="InternetLink"/>
                </w:rPr>
                <w:t>m</w:t>
              </w:r>
            </w:hyperlink>
            <w:hyperlink r:id="rId25">
              <w:r>
                <w:rPr>
                  <w:rStyle w:val="InternetLink"/>
                </w:rPr>
                <w:t xml:space="preserve"> 8-K on January 19, 2023)</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r:id="rId26">
              <w:r>
                <w:rPr>
                  <w:rStyle w:val="InternetLink"/>
                  <w:rFonts w:ascii="Times New Roman;sans-serif" w:hAnsi="Times New Roman;sans-serif"/>
                  <w:b w:val="false"/>
                  <w:color w:val="0000FF"/>
                  <w:sz w:val="20"/>
                  <w:u w:val="single"/>
                </w:rPr>
                <w:t>Form of 7.375% Senior Note due 2031 (included in Exhibit 4.1)</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3-cmlpxsixthsupple.htm">
              <w:r>
                <w:rPr>
                  <w:rStyle w:val="InternetLink"/>
                  <w:rFonts w:ascii="Times New Roman;sans-serif" w:hAnsi="Times New Roman;sans-serif"/>
                  <w:b w:val="false"/>
                  <w:color w:val="0000FF"/>
                  <w:sz w:val="20"/>
                  <w:u w:val="single"/>
                </w:rPr>
                <w:t>Sixth Supplemental Indenture, dated as of February 13, 2023, among Crestwood Midstream Partners LP, Crestwood Midstream Finance Corp., the guarantors named therein and U.S. Bank Trust Company, National Association, as trustee.</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4-cmlpxthirdsupple.htm">
              <w:r>
                <w:rPr>
                  <w:rStyle w:val="InternetLink"/>
                  <w:rFonts w:ascii="Times New Roman;sans-serif" w:hAnsi="Times New Roman;sans-serif"/>
                  <w:b w:val="false"/>
                  <w:color w:val="0000FF"/>
                  <w:sz w:val="20"/>
                  <w:u w:val="single"/>
                </w:rPr>
                <w:t>Third Supplemental Indenture, dated as of February 13, 2023, among Crestwood Midstream Partners LP, Crestwood Midstream Finance Corp., the guarantors named therein and U.S. Bank Trust Company, National Association, as trustee.</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5-cmlpxthirdsupple.htm">
              <w:r>
                <w:rPr>
                  <w:rStyle w:val="InternetLink"/>
                  <w:rFonts w:ascii="Times New Roman;sans-serif" w:hAnsi="Times New Roman;sans-serif"/>
                  <w:b w:val="false"/>
                  <w:color w:val="0000FF"/>
                  <w:sz w:val="20"/>
                  <w:u w:val="single"/>
                </w:rPr>
                <w:t>Third Supplemental Indenture, dated as of February 13, 2023, among Crestwood Midstream Partners LP, Crestwood Midstream Finance Corp., the guarantors named therein and U.S. Bank Trust Company, National Association, as trustee.</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6-cmlpxthirdsupple.htm">
              <w:r>
                <w:rPr>
                  <w:rStyle w:val="InternetLink"/>
                  <w:rFonts w:ascii="Times New Roman;sans-serif" w:hAnsi="Times New Roman;sans-serif"/>
                  <w:b w:val="false"/>
                  <w:color w:val="0000FF"/>
                  <w:sz w:val="20"/>
                  <w:u w:val="single"/>
                </w:rPr>
                <w:t>Third Supplemental Indenture, dated February 13, 2023, among Crestwood Midstream Partners LP, Crestwood Midstream Finance Corp., the guarantors named therein and Regions Bank, as trustee.</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exhibit47-cmlpxsupplementa.htm">
              <w:r>
                <w:rPr>
                  <w:rStyle w:val="InternetLink"/>
                  <w:rFonts w:ascii="Times New Roman;sans-serif" w:hAnsi="Times New Roman;sans-serif"/>
                  <w:b w:val="false"/>
                  <w:color w:val="0000FF"/>
                  <w:sz w:val="20"/>
                  <w:u w:val="single"/>
                </w:rPr>
                <w:t>Supplemental Indenture, dated as of February 13, 2023, among Crestwood Midstream Partners LP, Crestwood Midstream Finance Corp., the guarantors named therein and U.S. Bank Trust Company, National Association, as trustee.</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qp-ex311xq12023.htm">
              <w:r>
                <w:rPr>
                  <w:rStyle w:val="InternetLink"/>
                  <w:rFonts w:ascii="Times New Roman;sans-serif" w:hAnsi="Times New Roman;sans-serif"/>
                  <w:b w:val="false"/>
                  <w:color w:val="0000FF"/>
                  <w:sz w:val="20"/>
                  <w:u w:val="single"/>
                </w:rPr>
                <w:t xml:space="preserve">Certification of Chief Executive Officer pursuant to Rule 13a-14(a) and Rule 15d-14(a) of the Securities Exchange Act, as amended - Crestwood Equity Partners LP </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qp-ex312xq12023.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 - Crestwood Equity Partners LP</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mlp-ex313xq12023.htm">
              <w:r>
                <w:rPr>
                  <w:rStyle w:val="InternetLink"/>
                  <w:rFonts w:ascii="Times New Roman;sans-serif" w:hAnsi="Times New Roman;sans-serif"/>
                  <w:b w:val="false"/>
                  <w:color w:val="0000FF"/>
                  <w:sz w:val="20"/>
                  <w:u w:val="single"/>
                </w:rPr>
                <w:t>Certification of Chief Executive Officer pursuant to Rule 13a-14(a) and Rule 15d-14(a) of the Securities Exchange Act, as amended - Crestwood Midstream Partners LP</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mlp-ex314xq12023.htm">
              <w:r>
                <w:rPr>
                  <w:rStyle w:val="InternetLink"/>
                  <w:rFonts w:ascii="Times New Roman;sans-serif" w:hAnsi="Times New Roman;sans-serif"/>
                  <w:b w:val="false"/>
                  <w:color w:val="0000FF"/>
                  <w:sz w:val="20"/>
                  <w:u w:val="single"/>
                </w:rPr>
                <w:t>Certification of Chief Financial Officer pursuant to Rule 13a-14(a) and Rule 15d-14(a) of the Securities Exchange Act, as amended - Crestwood Midstream Partners LP</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qp-ex321xq12023.htm">
              <w:r>
                <w:rPr>
                  <w:rStyle w:val="InternetLink"/>
                  <w:rFonts w:ascii="Times New Roman;sans-serif" w:hAnsi="Times New Roman;sans-serif"/>
                  <w:b w:val="false"/>
                  <w:color w:val="0000FF"/>
                  <w:sz w:val="20"/>
                  <w:u w:val="single"/>
                </w:rPr>
                <w:t xml:space="preserve">Certification of Chief Executive Officer pursuant to 18 U.S.C. Section 1350, as adopted pursuant to Section 906 of the Sarbanes-Oxley Act of 2002 - Crestwood Equity Partners LP </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eqp-ex322xq12023.htm">
              <w:r>
                <w:rPr>
                  <w:rStyle w:val="InternetLink"/>
                  <w:rFonts w:ascii="Times New Roman;sans-serif" w:hAnsi="Times New Roman;sans-serif"/>
                  <w:b w:val="false"/>
                  <w:color w:val="0000FF"/>
                  <w:sz w:val="20"/>
                  <w:u w:val="single"/>
                </w:rPr>
                <w:t xml:space="preserve">Certification of Chief Financial Officer pursuant to 18 U.S.C. Section 1350, as adopted pursuant to Section 906 of the Sarbanes-Oxley Act of 2002 - Crestwood Equity Partners LP </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mlp-ex323xq12023.htm">
              <w:r>
                <w:rPr>
                  <w:rStyle w:val="InternetLink"/>
                  <w:rFonts w:ascii="Times New Roman;sans-serif" w:hAnsi="Times New Roman;sans-serif"/>
                  <w:b w:val="false"/>
                  <w:color w:val="0000FF"/>
                  <w:sz w:val="20"/>
                  <w:u w:val="single"/>
                </w:rPr>
                <w:t xml:space="preserve">Certification of Chief Executive Officer pursuant to 18 U.S.C. Section 1350, as adopted pursuant to Section 906 of the Sarbanes-Oxley Act of 2002 - Crestwood Midstream Partners LP </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cmlp-ex324xq12023.htm">
              <w:r>
                <w:rPr>
                  <w:rStyle w:val="InternetLink"/>
                  <w:rFonts w:ascii="Times New Roman;sans-serif" w:hAnsi="Times New Roman;sans-serif"/>
                  <w:b w:val="false"/>
                  <w:color w:val="0000FF"/>
                  <w:sz w:val="20"/>
                  <w:u w:val="single"/>
                </w:rPr>
                <w:t xml:space="preserve">Certification of Chief Financial Officer pursuant to 18 U.S.C. Section 1350, as adopted pursuant to Section 906 of the Sarbanes-Oxley Act of 2002 - Crestwood Midstream Partners LP </w:t>
              </w:r>
            </w:hyperlink>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7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91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7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tbl>
      <w:tblPr>
        <w:tblW w:w="7137" w:type="dxa"/>
        <w:jc w:val="left"/>
        <w:tblInd w:w="0" w:type="dxa"/>
        <w:tblCellMar>
          <w:top w:w="28" w:type="dxa"/>
          <w:left w:w="28" w:type="dxa"/>
          <w:bottom w:w="28" w:type="dxa"/>
          <w:right w:w="28" w:type="dxa"/>
        </w:tblCellMar>
      </w:tblPr>
      <w:tblGrid>
        <w:gridCol w:w="391"/>
        <w:gridCol w:w="343"/>
        <w:gridCol w:w="346"/>
        <w:gridCol w:w="109"/>
        <w:gridCol w:w="109"/>
        <w:gridCol w:w="109"/>
        <w:gridCol w:w="1676"/>
        <w:gridCol w:w="1676"/>
        <w:gridCol w:w="2378"/>
      </w:tblGrid>
      <w:tr>
        <w:trPr/>
        <w:tc>
          <w:tcPr>
            <w:tcW w:w="391" w:type="dxa"/>
            <w:tcBorders/>
            <w:shd w:fill="auto" w:val="clear"/>
            <w:vAlign w:val="center"/>
          </w:tcPr>
          <w:p>
            <w:pPr>
              <w:pStyle w:val="TableContents"/>
              <w:spacing w:before="0" w:after="283"/>
              <w:rPr>
                <w:sz w:val="4"/>
                <w:szCs w:val="4"/>
              </w:rPr>
            </w:pPr>
            <w:r>
              <w:rPr>
                <w:sz w:val="4"/>
                <w:szCs w:val="4"/>
              </w:rPr>
            </w:r>
          </w:p>
        </w:tc>
        <w:tc>
          <w:tcPr>
            <w:tcW w:w="343" w:type="dxa"/>
            <w:tcBorders/>
            <w:shd w:fill="auto" w:val="clear"/>
            <w:vAlign w:val="center"/>
          </w:tcPr>
          <w:p>
            <w:pPr>
              <w:pStyle w:val="TableContents"/>
              <w:spacing w:before="0" w:after="283"/>
              <w:rPr>
                <w:sz w:val="4"/>
                <w:szCs w:val="4"/>
              </w:rPr>
            </w:pPr>
            <w:r>
              <w:rPr>
                <w:sz w:val="4"/>
                <w:szCs w:val="4"/>
              </w:rPr>
            </w:r>
          </w:p>
        </w:tc>
        <w:tc>
          <w:tcPr>
            <w:tcW w:w="3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1676" w:type="dxa"/>
            <w:tcBorders/>
            <w:shd w:fill="auto" w:val="clear"/>
            <w:vAlign w:val="center"/>
          </w:tcPr>
          <w:p>
            <w:pPr>
              <w:pStyle w:val="TableContents"/>
              <w:spacing w:before="0" w:after="283"/>
              <w:rPr>
                <w:sz w:val="4"/>
                <w:szCs w:val="4"/>
              </w:rPr>
            </w:pPr>
            <w:r>
              <w:rPr>
                <w:sz w:val="4"/>
                <w:szCs w:val="4"/>
              </w:rPr>
            </w:r>
          </w:p>
        </w:tc>
        <w:tc>
          <w:tcPr>
            <w:tcW w:w="2378" w:type="dxa"/>
            <w:tcBorders/>
            <w:shd w:fill="auto" w:val="cle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0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8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3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(contained in Exhibit 101)</w:t>
            </w:r>
          </w:p>
        </w:tc>
      </w:tr>
    </w:tbl>
    <w:tbl>
      <w:tblPr>
        <w:tblW w:w="10205" w:type="dxa"/>
        <w:jc w:val="left"/>
        <w:tblInd w:w="0" w:type="dxa"/>
        <w:tblCellMar>
          <w:top w:w="28" w:type="dxa"/>
          <w:left w:w="28" w:type="dxa"/>
          <w:bottom w:w="28" w:type="dxa"/>
          <w:right w:w="28" w:type="dxa"/>
        </w:tblCellMar>
      </w:tblPr>
      <w:tblGrid>
        <w:gridCol w:w="124"/>
        <w:gridCol w:w="109"/>
        <w:gridCol w:w="109"/>
        <w:gridCol w:w="2929"/>
        <w:gridCol w:w="2896"/>
        <w:gridCol w:w="403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29" w:type="dxa"/>
            <w:tcBorders/>
            <w:shd w:fill="auto" w:val="clear"/>
            <w:vAlign w:val="center"/>
          </w:tcPr>
          <w:p>
            <w:pPr>
              <w:pStyle w:val="TableContents"/>
              <w:spacing w:before="0" w:after="283"/>
              <w:rPr>
                <w:sz w:val="4"/>
                <w:szCs w:val="4"/>
              </w:rPr>
            </w:pPr>
            <w:r>
              <w:rPr>
                <w:sz w:val="4"/>
                <w:szCs w:val="4"/>
              </w:rPr>
            </w:r>
          </w:p>
        </w:tc>
        <w:tc>
          <w:tcPr>
            <w:tcW w:w="2896" w:type="dxa"/>
            <w:tcBorders/>
            <w:shd w:fill="auto" w:val="clear"/>
            <w:vAlign w:val="center"/>
          </w:tcPr>
          <w:p>
            <w:pPr>
              <w:pStyle w:val="TableContents"/>
              <w:spacing w:before="0" w:after="283"/>
              <w:rPr>
                <w:sz w:val="4"/>
                <w:szCs w:val="4"/>
              </w:rPr>
            </w:pPr>
            <w:r>
              <w:rPr>
                <w:sz w:val="4"/>
                <w:szCs w:val="4"/>
              </w:rPr>
            </w:r>
          </w:p>
        </w:tc>
        <w:tc>
          <w:tcPr>
            <w:tcW w:w="4038"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herewith</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63"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Rule 406T of Regulation S-T, the Interactive Data Files on Exhibit 101 hereto are deemed not filed or part of a registration statement or prospectus for purposes of Sections 11 or 12 of the Securities Act of 1933, as amended, are deemed not filed for purposes of Section 18 of the Securities and Exchange Act of 1934, as amended, and otherwise are not subject to liability under those sections.</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9863"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0" w:after="0"/>
        <w:rPr/>
      </w:pPr>
      <w:hyperlink w:anchor="i72f46630dd544a3ba34f0c225dd437a5_7">
        <w:r>
          <w:rPr>
            <w:rStyle w:val="InternetLink"/>
            <w:rFonts w:ascii="Times New Roman;sans-serif" w:hAnsi="Times New Roman;sans-serif"/>
            <w:b w:val="false"/>
            <w:color w:val="0000FF"/>
            <w:sz w:val="20"/>
            <w:u w:val="single"/>
          </w:rPr>
          <w:t>Table of Contents</w:t>
        </w:r>
      </w:hyperlink>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spacing w:before="0" w:after="0"/>
        <w:rPr/>
      </w:pPr>
      <w:r>
        <w:rPr/>
      </w:r>
    </w:p>
    <w:tbl>
      <w:tblPr>
        <w:tblW w:w="9140" w:type="dxa"/>
        <w:jc w:val="left"/>
        <w:tblInd w:w="0" w:type="dxa"/>
        <w:tblCellMar>
          <w:top w:w="28" w:type="dxa"/>
          <w:left w:w="28" w:type="dxa"/>
          <w:bottom w:w="28" w:type="dxa"/>
          <w:right w:w="28" w:type="dxa"/>
        </w:tblCellMar>
      </w:tblPr>
      <w:tblGrid>
        <w:gridCol w:w="200"/>
        <w:gridCol w:w="177"/>
        <w:gridCol w:w="178"/>
        <w:gridCol w:w="379"/>
        <w:gridCol w:w="379"/>
        <w:gridCol w:w="381"/>
        <w:gridCol w:w="594"/>
        <w:gridCol w:w="594"/>
        <w:gridCol w:w="594"/>
        <w:gridCol w:w="1652"/>
        <w:gridCol w:w="1652"/>
        <w:gridCol w:w="1661"/>
        <w:gridCol w:w="109"/>
        <w:gridCol w:w="109"/>
        <w:gridCol w:w="109"/>
        <w:gridCol w:w="109"/>
        <w:gridCol w:w="109"/>
        <w:gridCol w:w="154"/>
      </w:tblGrid>
      <w:tr>
        <w:trPr/>
        <w:tc>
          <w:tcPr>
            <w:tcW w:w="200"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52" w:type="dxa"/>
            <w:tcBorders/>
            <w:shd w:fill="auto" w:val="clear"/>
            <w:vAlign w:val="center"/>
          </w:tcPr>
          <w:p>
            <w:pPr>
              <w:pStyle w:val="TableContents"/>
              <w:spacing w:before="0" w:after="283"/>
              <w:rPr>
                <w:sz w:val="4"/>
                <w:szCs w:val="4"/>
              </w:rPr>
            </w:pPr>
            <w:r>
              <w:rPr>
                <w:sz w:val="4"/>
                <w:szCs w:val="4"/>
              </w:rPr>
            </w:r>
          </w:p>
        </w:tc>
        <w:tc>
          <w:tcPr>
            <w:tcW w:w="16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CRESTWOOD EQUITY PARTNERS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EQUITY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1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(Duly Authorized Officer and 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7"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CRESTWOOD MIDSTREAM PARTNERS LP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CRESTWOOD MIDSTREAM GP LLC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(its general partner)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178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JOHN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John Black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3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(Duly Authorized Officer and Principal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4.3</w:t>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40" w:before="0" w:after="2"/>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SIXTH SUPPLEMENTAL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SIXTH SUPPLEMENTAL INDENTURE (this “</w:t>
      </w:r>
      <w:r>
        <w:rPr>
          <w:rFonts w:ascii="Times New Roman;sans-serif" w:hAnsi="Times New Roman;sans-serif"/>
          <w:b/>
          <w:i/>
          <w:color w:val="000000"/>
          <w:sz w:val="24"/>
        </w:rPr>
        <w:t>Supplemental Indenture</w:t>
      </w:r>
      <w:r>
        <w:rPr>
          <w:color w:val="000000"/>
        </w:rPr>
        <w:t>”</w:t>
      </w:r>
      <w:r>
        <w:rPr>
          <w:rFonts w:ascii="Times New Roman;sans-serif" w:hAnsi="Times New Roman;sans-serif"/>
          <w:b w:val="false"/>
          <w:color w:val="000000"/>
          <w:sz w:val="24"/>
        </w:rPr>
        <w:t>) to the Indenture (as defined below), dated as of February 13, 2023, by and among Crestwood Permian Basin Holdings LLC, a Delaware limited liability company (“</w:t>
      </w:r>
      <w:r>
        <w:rPr>
          <w:rFonts w:ascii="Times New Roman;sans-serif" w:hAnsi="Times New Roman;sans-serif"/>
          <w:b/>
          <w:i/>
          <w:color w:val="000000"/>
          <w:sz w:val="24"/>
        </w:rPr>
        <w:t>CPJV</w:t>
      </w:r>
      <w:r>
        <w:rPr>
          <w:color w:val="000000"/>
        </w:rPr>
        <w:t>”</w:t>
      </w:r>
      <w:r>
        <w:rPr>
          <w:rFonts w:ascii="Times New Roman;sans-serif" w:hAnsi="Times New Roman;sans-serif"/>
          <w:b w:val="false"/>
          <w:color w:val="000000"/>
          <w:sz w:val="24"/>
        </w:rPr>
        <w:t>) and indirect wholly owned subsidiary of Crestwood Midstream Partners LP, a Delaware limited partnership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CPB Subsidiary Holdings LLC, a Delaware limited liability company and direct wholly owned subsidiary of CPJV (“</w:t>
      </w:r>
      <w:r>
        <w:rPr>
          <w:rFonts w:ascii="Times New Roman;sans-serif" w:hAnsi="Times New Roman;sans-serif"/>
          <w:b/>
          <w:i/>
          <w:color w:val="000000"/>
          <w:sz w:val="24"/>
        </w:rPr>
        <w:t>CPB Subsidiary</w:t>
      </w:r>
      <w:r>
        <w:rPr>
          <w:color w:val="000000"/>
        </w:rPr>
        <w:t>”</w:t>
      </w:r>
      <w:r>
        <w:rPr>
          <w:rFonts w:ascii="Times New Roman;sans-serif" w:hAnsi="Times New Roman;sans-serif"/>
          <w:b w:val="false"/>
          <w:color w:val="000000"/>
          <w:sz w:val="24"/>
        </w:rPr>
        <w:t>), Crestwood New Mexico Pipeline LLC, a Texas limited liability company and indirect wholly owned subsidiary of CPJV (“</w:t>
      </w:r>
      <w:r>
        <w:rPr>
          <w:rFonts w:ascii="Times New Roman;sans-serif" w:hAnsi="Times New Roman;sans-serif"/>
          <w:b/>
          <w:i/>
          <w:color w:val="000000"/>
          <w:sz w:val="24"/>
        </w:rPr>
        <w:t>Crestwood New Mexico</w:t>
      </w:r>
      <w:r>
        <w:rPr>
          <w:color w:val="000000"/>
        </w:rPr>
        <w:t>”</w:t>
      </w:r>
      <w:r>
        <w:rPr>
          <w:rFonts w:ascii="Times New Roman;sans-serif" w:hAnsi="Times New Roman;sans-serif"/>
          <w:b w:val="false"/>
          <w:color w:val="000000"/>
          <w:sz w:val="24"/>
        </w:rPr>
        <w:t>), CPB Transportation &amp; Marketing LLC, a Delaware limited liability company and indirect wholly owned subsidiary of CPJV (“</w:t>
      </w:r>
      <w:r>
        <w:rPr>
          <w:rFonts w:ascii="Times New Roman;sans-serif" w:hAnsi="Times New Roman;sans-serif"/>
          <w:b/>
          <w:i/>
          <w:color w:val="000000"/>
          <w:sz w:val="24"/>
        </w:rPr>
        <w:t>CPB Transportation</w:t>
      </w:r>
      <w:r>
        <w:rPr>
          <w:color w:val="000000"/>
        </w:rPr>
        <w:t>”</w:t>
      </w:r>
      <w:r>
        <w:rPr>
          <w:rFonts w:ascii="Times New Roman;sans-serif" w:hAnsi="Times New Roman;sans-serif"/>
          <w:b w:val="false"/>
          <w:color w:val="000000"/>
          <w:sz w:val="24"/>
        </w:rPr>
        <w:t>), CPB Operator LLC, a Delaware limited liability company and indirect wholly owned subsidiary of CPJV (“</w:t>
      </w:r>
      <w:r>
        <w:rPr>
          <w:rFonts w:ascii="Times New Roman;sans-serif" w:hAnsi="Times New Roman;sans-serif"/>
          <w:b/>
          <w:i/>
          <w:color w:val="000000"/>
          <w:sz w:val="24"/>
        </w:rPr>
        <w:t>CPB Operator</w:t>
      </w:r>
      <w:r>
        <w:rPr>
          <w:color w:val="000000"/>
        </w:rPr>
        <w:t>”</w:t>
      </w:r>
      <w:r>
        <w:rPr>
          <w:rFonts w:ascii="Times New Roman;sans-serif" w:hAnsi="Times New Roman;sans-serif"/>
          <w:b w:val="false"/>
          <w:color w:val="000000"/>
          <w:sz w:val="24"/>
        </w:rPr>
        <w:t>), CPB Water LLC, a Delaware limited liability company and indirect wholly owned subsidiary of CPJV (“</w:t>
      </w:r>
      <w:r>
        <w:rPr>
          <w:rFonts w:ascii="Times New Roman;sans-serif" w:hAnsi="Times New Roman;sans-serif"/>
          <w:b/>
          <w:i/>
          <w:color w:val="000000"/>
          <w:sz w:val="24"/>
        </w:rPr>
        <w:t>CPB Water</w:t>
      </w:r>
      <w:r>
        <w:rPr>
          <w:color w:val="000000"/>
        </w:rPr>
        <w:t>”</w:t>
      </w:r>
      <w:r>
        <w:rPr>
          <w:rFonts w:ascii="Times New Roman;sans-serif" w:hAnsi="Times New Roman;sans-serif"/>
          <w:b w:val="false"/>
          <w:color w:val="000000"/>
          <w:sz w:val="24"/>
        </w:rPr>
        <w:t>), CPB Bowser SWD #1 LLC, a Delaware limited liability company and indirect wholly owned subsidiary of CPJV (“</w:t>
      </w:r>
      <w:r>
        <w:rPr>
          <w:rFonts w:ascii="Times New Roman;sans-serif" w:hAnsi="Times New Roman;sans-serif"/>
          <w:b/>
          <w:i/>
          <w:color w:val="000000"/>
          <w:sz w:val="24"/>
        </w:rPr>
        <w:t>CPB Bowser #1</w:t>
      </w:r>
      <w:r>
        <w:rPr>
          <w:rFonts w:ascii="Times New Roman;sans-serif" w:hAnsi="Times New Roman;sans-serif"/>
          <w:b w:val="false"/>
          <w:color w:val="000000"/>
          <w:sz w:val="24"/>
        </w:rPr>
        <w:t>) and CPB Bowser SWD #2 LLC, a Delaware limited liability company and indirect wholly owned subsidiary of CPJV (“</w:t>
      </w:r>
      <w:r>
        <w:rPr>
          <w:rFonts w:ascii="Times New Roman;sans-serif" w:hAnsi="Times New Roman;sans-serif"/>
          <w:b/>
          <w:i/>
          <w:color w:val="000000"/>
          <w:sz w:val="24"/>
        </w:rPr>
        <w:t>CPB Bowser #2</w:t>
      </w:r>
      <w:r>
        <w:rPr>
          <w:color w:val="000000"/>
        </w:rPr>
        <w:t xml:space="preserve">” </w:t>
      </w:r>
      <w:r>
        <w:rPr>
          <w:rFonts w:ascii="Times New Roman;sans-serif" w:hAnsi="Times New Roman;sans-serif"/>
          <w:b w:val="false"/>
          <w:color w:val="000000"/>
          <w:sz w:val="24"/>
        </w:rPr>
        <w:t>and, together with CPJV, CPB Subsidiary, Crestwood New Mexico, CPB Transportation, CPB Operator, CPB Water, and CPB Bowser #1, the “</w:t>
      </w:r>
      <w:r>
        <w:rPr>
          <w:rFonts w:ascii="Times New Roman;sans-serif" w:hAnsi="Times New Roman;sans-serif"/>
          <w:b/>
          <w:i/>
          <w:color w:val="000000"/>
          <w:sz w:val="24"/>
        </w:rPr>
        <w:t>New Guarantors</w:t>
      </w:r>
      <w:r>
        <w:rPr>
          <w:color w:val="000000"/>
        </w:rPr>
        <w:t>”</w:t>
      </w:r>
      <w:r>
        <w:rPr>
          <w:rFonts w:ascii="Times New Roman;sans-serif" w:hAnsi="Times New Roman;sans-serif"/>
          <w:b w:val="false"/>
          <w:color w:val="000000"/>
          <w:sz w:val="24"/>
        </w:rPr>
        <w:t>), each a Domestic Subsidiary of the Company, the Company, Crestwood Midstream Finance Corporation, a Delaware corporation (the “</w:t>
      </w:r>
      <w:r>
        <w:rPr>
          <w:rFonts w:ascii="Times New Roman;sans-serif" w:hAnsi="Times New Roman;sans-serif"/>
          <w:b/>
          <w:i/>
          <w:color w:val="000000"/>
          <w:sz w:val="24"/>
        </w:rPr>
        <w:t>Co-Issuer</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i/>
          <w:color w:val="000000"/>
          <w:sz w:val="24"/>
        </w:rPr>
        <w:t>Issuers</w:t>
      </w:r>
      <w:r>
        <w:rPr>
          <w:color w:val="000000"/>
        </w:rPr>
        <w:t>”</w:t>
      </w:r>
      <w:r>
        <w:rPr>
          <w:rFonts w:ascii="Times New Roman;sans-serif" w:hAnsi="Times New Roman;sans-serif"/>
          <w:b w:val="false"/>
          <w:color w:val="000000"/>
          <w:sz w:val="24"/>
        </w:rPr>
        <w:t xml:space="preserve">), each existing Guarantor under the Indenture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collectively, the “</w:t>
      </w:r>
      <w:r>
        <w:rPr>
          <w:rFonts w:ascii="Times New Roman;sans-serif" w:hAnsi="Times New Roman;sans-serif"/>
          <w:b/>
          <w:i/>
          <w:color w:val="000000"/>
          <w:sz w:val="24"/>
        </w:rPr>
        <w:t>Existing Guarantors</w:t>
      </w:r>
      <w:r>
        <w:rPr>
          <w:color w:val="000000"/>
        </w:rPr>
        <w:t>”</w:t>
      </w:r>
      <w:r>
        <w:rPr>
          <w:rFonts w:ascii="Times New Roman;sans-serif" w:hAnsi="Times New Roman;sans-serif"/>
          <w:b w:val="false"/>
          <w:color w:val="000000"/>
          <w:sz w:val="24"/>
        </w:rPr>
        <w:t>) and U.S. Bank Trust Company, National Association, as successor in interest to U.S. Bank National Association, as trustee under the Indenture referred to below (the “</w:t>
      </w:r>
      <w:r>
        <w:rPr>
          <w:rFonts w:ascii="Times New Roman;sans-serif" w:hAnsi="Times New Roman;sans-serif"/>
          <w:b/>
          <w:i/>
          <w:color w:val="000000"/>
          <w:sz w:val="24"/>
        </w:rPr>
        <w:t>Trustee</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Issuers and the Existing Guarantors have heretofore executed and delivered to the Trustee an indenture (as amended and supplemented to the date hereof, the “</w:t>
      </w:r>
      <w:r>
        <w:rPr>
          <w:rFonts w:ascii="Times New Roman;sans-serif" w:hAnsi="Times New Roman;sans-serif"/>
          <w:b/>
          <w:i/>
          <w:color w:val="000000"/>
          <w:sz w:val="24"/>
        </w:rPr>
        <w:t>Indenture</w:t>
      </w:r>
      <w:r>
        <w:rPr>
          <w:color w:val="000000"/>
        </w:rPr>
        <w:t>”</w:t>
      </w:r>
      <w:r>
        <w:rPr>
          <w:rFonts w:ascii="Times New Roman;sans-serif" w:hAnsi="Times New Roman;sans-serif"/>
          <w:b w:val="false"/>
          <w:color w:val="000000"/>
          <w:sz w:val="24"/>
        </w:rPr>
        <w:t>), dated as of March 14, 2017, providing for the issuance of the Issuers’ 5.75% Senior Notes due 2025 (the “</w:t>
      </w:r>
      <w:r>
        <w:rPr>
          <w:rFonts w:ascii="Times New Roman;sans-serif" w:hAnsi="Times New Roman;sans-serif"/>
          <w:b/>
          <w:i/>
          <w:color w:val="000000"/>
          <w:sz w:val="24"/>
        </w:rPr>
        <w:t>Notes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on July 11, 2022, pursuant to the consummation of the transactions contemplated under the Contribution Agreement, dated as of May 25, 2022, by and between Crestwood Equity Partners LP, a Delaware limited partnership of which the Company is a direct wholly owned subsidiary (“</w:t>
      </w:r>
      <w:r>
        <w:rPr>
          <w:rFonts w:ascii="Times New Roman;sans-serif" w:hAnsi="Times New Roman;sans-serif"/>
          <w:b/>
          <w:i/>
          <w:color w:val="000000"/>
          <w:sz w:val="24"/>
        </w:rPr>
        <w:t>CEQP</w:t>
      </w:r>
      <w:r>
        <w:rPr>
          <w:color w:val="000000"/>
        </w:rPr>
        <w:t>”</w:t>
      </w:r>
      <w:r>
        <w:rPr>
          <w:rFonts w:ascii="Times New Roman;sans-serif" w:hAnsi="Times New Roman;sans-serif"/>
          <w:b w:val="false"/>
          <w:color w:val="000000"/>
          <w:sz w:val="24"/>
        </w:rPr>
        <w:t>), and FR XIII Crestwood Permian Basin Holdings LLC, a Delaware limited liability company (“</w:t>
      </w:r>
      <w:r>
        <w:rPr>
          <w:rFonts w:ascii="Times New Roman;sans-serif" w:hAnsi="Times New Roman;sans-serif"/>
          <w:b/>
          <w:i/>
          <w:color w:val="000000"/>
          <w:sz w:val="24"/>
        </w:rPr>
        <w:t>FR XIII Crestwood</w:t>
      </w:r>
      <w:r>
        <w:rPr>
          <w:color w:val="000000"/>
        </w:rPr>
        <w:t>”</w:t>
      </w:r>
      <w:r>
        <w:rPr>
          <w:rFonts w:ascii="Times New Roman;sans-serif" w:hAnsi="Times New Roman;sans-serif"/>
          <w:b w:val="false"/>
          <w:color w:val="000000"/>
          <w:sz w:val="24"/>
        </w:rPr>
        <w:t>), FR XIII Crestwood contributed to CEQP 50% of the issued and outstanding membership interests in CPJV, CPJV became a wholly owned subsidiary of CEQP and CEQP was admitted as the sole member of CPJV;</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January 25, 2023, the Amended and Restated Credit Agreement, dated as of June 25, 2021, by and among CPB Subsidiary, CPJV, Wells Fargo Bank, National Association, the institutions set forth on Schedule 1 thereto and the other lenders party thereto, as amended by that certain First Amendment thereto, dated as of April 13, 2022, and as further amended, modified and supplemented from time to time, was repaid in full and terminated, following which each of the New Guarantors will become guarantors under that certain Third Amended and Restated Credit Agreement, dated as of December 20, 2021, by and among the Company, the lenders party thereto in their capacities as lenders thereunder, Wells Fargo Bank, National Association, as administrative agent and collateral agent, and the other parties thereto, as amended by that certain First Amendment thereto, dated as of October 14, 2022;</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Section 4.15 of the Indenture provides that under the circumstances set forth therein, the New Guarantors shall execute and deliver to the Trustee a supplemental indenture pursuant to which the New Guarantors shall unconditionally guarantee all of the Issuers’ Obligations under the Indenture and the Notes on the terms and conditions set forth herein (the “</w:t>
      </w:r>
      <w:r>
        <w:rPr>
          <w:rFonts w:ascii="Times New Roman;sans-serif" w:hAnsi="Times New Roman;sans-serif"/>
          <w:b/>
          <w:i/>
          <w:color w:val="000000"/>
          <w:sz w:val="24"/>
        </w:rPr>
        <w:t>Note Guarantee</w:t>
      </w:r>
      <w:r>
        <w:rPr>
          <w:color w:val="000000"/>
        </w:rPr>
        <w:t>”</w:t>
      </w:r>
      <w:r>
        <w:rPr>
          <w:rFonts w:ascii="Times New Roman;sans-serif" w:hAnsi="Times New Roman;sans-serif"/>
          <w:b w:val="false"/>
          <w:color w:val="000000"/>
          <w:sz w:val="24"/>
        </w:rPr>
        <w:t>);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9.01 of the Indenture, the Trustee, the Issuers and the Existing Guarantors are authorized to execute and deliver this Supplemental Indenture.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of which is hereby acknowledged, the New Guarantors, the Issuers, the Existing Guarantors and the Trustee mutually covenant and agree for the equal and ratable benefit of the Holders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DEFINED TERMS. Defined terms used herein without definition shall have the meanings assigned to them in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AGREEMENT TO GUARANTEE. The New Guarantors hereby unconditionally Guarantee, jointly and severally with all Existing Guarantors, on the terms and subject to the conditions set forth in Article 10 of the Indenture and agrees to be bound by all other applicable provisions of the Indenture and the Notes and to perform all of the obligations and agreements of a Guarantor under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NO RECOURSE AGAINST OTHERS. No past, present or future director, manager, officer, employee, incorporator, stockholder, member or partner of either of the Issuers, any parent entity of the Company or any Subsidiary of the Company, as such, will have any liability for any obligations of the Issuers or the Guarantors under the Notes, this Indenture, the Note Guarantees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NOTICES. All notices or other communications to the New Guarantors shall be given as provided in Section 12.02 of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GOVERNING LAW. THIS SUPPLEMENTAL INDENTURE SHALL BE GOVERNED BY, AND CONSTRUED IN ACCORDANCE WITH, THE LAWS OF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50520"/>
                <wp:effectExtent l="0" t="0" r="0" b="0"/>
                <wp:wrapNone/>
                <wp:docPr id="46" name="Frame4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EFFECT OF HEADINGS. The Section headings of this Supplemental Indenture have been inserted for convenience of reference only and are not to be considered part of this Supplemental Indenture or the Indenture and will in no way modify or restrict any of the terms or provisions hereof or thereof.</w:t>
      </w:r>
    </w:p>
    <w:p>
      <w:pPr>
        <w:pStyle w:val="TextBody"/>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SEVERABILITY. In case any provision in this Supplemental Indenture shall be invalid, illegal or unenforceable, the validity, legality and enforceability of the remaining provisions will not in any way be affected or impaired thereby.</w:t>
      </w:r>
    </w:p>
    <w:p>
      <w:pPr>
        <w:pStyle w:val="TextBody"/>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TRUSTEE MAKES NO REPRESENTATION. The Trustee makes no representation as to the validity or sufficiency of this Supplemental Indenture. The recitals and statements herein are deemed to be those of the Issuers and the Guarantors and not those of the Trustee, and the Trustee assumes no responsibility for their correctness.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left intentionally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50520"/>
                <wp:effectExtent l="0" t="0" r="0" b="0"/>
                <wp:wrapNone/>
                <wp:docPr id="47" name="Frame4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to be duly executed and attested, all as of the date first above written.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February 13, 2023</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PARTNERS LP</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CRESTWOOD MIDSTREAM FINANCE CORP.</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50520"/>
                <wp:effectExtent l="0" t="0" r="0" b="0"/>
                <wp:wrapNone/>
                <wp:docPr id="48" name="Frame4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4"/>
        </w:rPr>
        <w:t>U.S. BANK TRUST COMPANY</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t>NATIONAL ASSOCIATION</w:t>
      </w:r>
      <w:r>
        <w:rPr>
          <w:rFonts w:ascii="Times New Roman;sans-serif" w:hAnsi="Times New Roman;sans-serif"/>
          <w:b w:val="false"/>
          <w:color w:val="000000"/>
          <w:sz w:val="24"/>
        </w:rPr>
        <w:t>, as successor in interest to U.S. Bank National Association, as Trustee</w:t>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Brian Jensen    </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Name:    Brian Jensen</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50520"/>
                <wp:effectExtent l="0" t="0" r="0" b="0"/>
                <wp:wrapNone/>
                <wp:docPr id="49" name="Frame4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MIDSTREAM HOLDINGS,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MANAGER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APPALACHIA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ENERGY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OPERATING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MIDSTREAM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SENDERO GP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FIELD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Arrow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50520"/>
                <wp:effectExtent l="0" t="0" r="0" b="0"/>
                <wp:wrapNone/>
                <wp:docPr id="50" name="Frame5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ARKANSAS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PANHANDLE PIPELINE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LOGISTICS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FINGER LAKES LPG STORAGE,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TERMINALS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DAKOTA PIPELINES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Crude Logistics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50520"/>
                <wp:effectExtent l="0" t="0" r="0" b="0"/>
                <wp:wrapNone/>
                <wp:docPr id="51" name="Frame5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MIDSTREAM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 MARCELLUS ASSET COMPANY,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Midstream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SALES &amp; SERVICE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Shareholder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STELLAR PROPANE SERVICE,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50520"/>
                <wp:effectExtent l="0" t="0" r="0" b="0"/>
                <wp:wrapNone/>
                <wp:docPr id="52" name="Frame5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BEARTOOTH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BIGHORN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BOBCAT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PANTHER DEVCO LLC</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Rough Rider Operating LLC, its Managing Member</w:t>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50520"/>
                <wp:effectExtent l="0" t="0" r="0" b="0"/>
                <wp:wrapNone/>
                <wp:docPr id="53" name="Frame5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PARTNERS,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HOLDINGS,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MIDSTREAM,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FINANCE,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50520"/>
                <wp:effectExtent l="0" t="0" r="0" b="0"/>
                <wp:wrapNone/>
                <wp:docPr id="54" name="Frame5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PERMIAN BASIN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SUBSIDIARY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NEW MEXICO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TRANSPORTATION &amp; MARKETING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WATER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#1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#2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Water LLC,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w:t>
      </w:r>
      <w:r>
        <w:rPr>
          <w:color w:val="000000"/>
          <w:u w:val="single"/>
        </w:rPr>
        <w:t>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50520"/>
                <wp:effectExtent l="0" t="0" r="0" b="0"/>
                <wp:wrapNone/>
                <wp:docPr id="55" name="Frame5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2025 Supplemental Indenture</w:t>
                      </w:r>
                    </w:p>
                    <w:p>
                      <w:pPr>
                        <w:pStyle w:val="TextBody"/>
                        <w:spacing w:before="0" w:after="240"/>
                        <w:jc w:val="both"/>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ARROW FIELD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ARROW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ARROW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ARROW WATER,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ARROW WATER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BEARTOOTH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BIGHORN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BOBCAT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CMLP TRES MANAGER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CMLP TRES OPERATOR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CRESTWOOD APPALACHIA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CRESTWOOD ARKANSAS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CRESTWOOD CRUDE LOGISTICS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CRESTWOOD CRUDE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CRESTWOOD CRUDE TERMINALS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    CRESTWOOD CRUDE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CRESTWOOD DAKOTA PIPELINES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CRESTWOOD ENERGY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19.    CRESTWOOD MARCELLUS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20.    CRESTWOOD MARCELLUS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    CRESTWOOD MIDSTREAM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22.    CRESTWOOD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    CRESTWOOD PANHANDLE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    CRESTWOOD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    CRESTWOOD SALES &amp; SERVICES INC.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26.    CRESTWOOD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    CRESTWOOD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28.    E. MARCELLUS ASSET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29.    FINGER LAKES LPG STORAGE,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    STELLAR PROPANE SERVICE,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31.    PANTHER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32.    ROUGH RIDER MIDSTREAM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    ROUGH RIDER OPERATING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34.    CRESTWOOD SENDERO GP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35.    SENDERO MIDSTREAM PARTNERS, LP</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36.    SENDERO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37.    SENDERO CARLSBAD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38.    SENDERO CARLSBAD FINANCE, LLC</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4.4</w:t>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50520"/>
                <wp:effectExtent l="0" t="0" r="0" b="0"/>
                <wp:wrapNone/>
                <wp:docPr id="56" name="Frame5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v:textbox>
              </v:rect>
            </w:pict>
          </mc:Fallback>
        </mc:AlternateContent>
      </w:r>
    </w:p>
    <w:p>
      <w:pPr>
        <w:pStyle w:val="TextBody"/>
        <w:spacing w:lineRule="auto" w:line="240" w:before="0" w:after="2"/>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THIRD SUPPLEMENTAL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THIRD SUPPLEMENTAL INDENTURE (this “</w:t>
      </w:r>
      <w:r>
        <w:rPr>
          <w:rFonts w:ascii="Times New Roman;sans-serif" w:hAnsi="Times New Roman;sans-serif"/>
          <w:b/>
          <w:i/>
          <w:color w:val="000000"/>
          <w:sz w:val="24"/>
        </w:rPr>
        <w:t>Supplemental Indenture</w:t>
      </w:r>
      <w:r>
        <w:rPr>
          <w:color w:val="000000"/>
        </w:rPr>
        <w:t>”</w:t>
      </w:r>
      <w:r>
        <w:rPr>
          <w:rFonts w:ascii="Times New Roman;sans-serif" w:hAnsi="Times New Roman;sans-serif"/>
          <w:b w:val="false"/>
          <w:color w:val="000000"/>
          <w:sz w:val="24"/>
        </w:rPr>
        <w:t>) to the Indenture (as defined below), dated as of February 13, 2023, by and among Crestwood Permian Basin Holdings LLC, a Delaware limited liability company (“</w:t>
      </w:r>
      <w:r>
        <w:rPr>
          <w:rFonts w:ascii="Times New Roman;sans-serif" w:hAnsi="Times New Roman;sans-serif"/>
          <w:b/>
          <w:i/>
          <w:color w:val="000000"/>
          <w:sz w:val="24"/>
        </w:rPr>
        <w:t>CPJV</w:t>
      </w:r>
      <w:r>
        <w:rPr>
          <w:color w:val="000000"/>
        </w:rPr>
        <w:t>”</w:t>
      </w:r>
      <w:r>
        <w:rPr>
          <w:rFonts w:ascii="Times New Roman;sans-serif" w:hAnsi="Times New Roman;sans-serif"/>
          <w:b w:val="false"/>
          <w:color w:val="000000"/>
          <w:sz w:val="24"/>
        </w:rPr>
        <w:t>) and indirect wholly owned subsidiary of Crestwood Midstream Partners LP, a Delaware limited partnership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CPB Subsidiary Holdings LLC, a Delaware limited liability company and direct wholly owned subsidiary of CPJV (“</w:t>
      </w:r>
      <w:r>
        <w:rPr>
          <w:rFonts w:ascii="Times New Roman;sans-serif" w:hAnsi="Times New Roman;sans-serif"/>
          <w:b/>
          <w:i/>
          <w:color w:val="000000"/>
          <w:sz w:val="24"/>
        </w:rPr>
        <w:t>CPB Subsidiary</w:t>
      </w:r>
      <w:r>
        <w:rPr>
          <w:color w:val="000000"/>
        </w:rPr>
        <w:t>”</w:t>
      </w:r>
      <w:r>
        <w:rPr>
          <w:rFonts w:ascii="Times New Roman;sans-serif" w:hAnsi="Times New Roman;sans-serif"/>
          <w:b w:val="false"/>
          <w:color w:val="000000"/>
          <w:sz w:val="24"/>
        </w:rPr>
        <w:t>), Crestwood New Mexico Pipeline LLC, a Texas limited liability company and indirect wholly owned subsidiary of CPJV (“</w:t>
      </w:r>
      <w:r>
        <w:rPr>
          <w:rFonts w:ascii="Times New Roman;sans-serif" w:hAnsi="Times New Roman;sans-serif"/>
          <w:b/>
          <w:i/>
          <w:color w:val="000000"/>
          <w:sz w:val="24"/>
        </w:rPr>
        <w:t>Crestwood New Mexico</w:t>
      </w:r>
      <w:r>
        <w:rPr>
          <w:color w:val="000000"/>
        </w:rPr>
        <w:t>”</w:t>
      </w:r>
      <w:r>
        <w:rPr>
          <w:rFonts w:ascii="Times New Roman;sans-serif" w:hAnsi="Times New Roman;sans-serif"/>
          <w:b w:val="false"/>
          <w:color w:val="000000"/>
          <w:sz w:val="24"/>
        </w:rPr>
        <w:t>), CPB Transportation &amp; Marketing LLC, a Delaware limited liability company and indirect wholly owned subsidiary of CPJV (“</w:t>
      </w:r>
      <w:r>
        <w:rPr>
          <w:rFonts w:ascii="Times New Roman;sans-serif" w:hAnsi="Times New Roman;sans-serif"/>
          <w:b/>
          <w:i/>
          <w:color w:val="000000"/>
          <w:sz w:val="24"/>
        </w:rPr>
        <w:t>CPB Transportation</w:t>
      </w:r>
      <w:r>
        <w:rPr>
          <w:color w:val="000000"/>
        </w:rPr>
        <w:t>”</w:t>
      </w:r>
      <w:r>
        <w:rPr>
          <w:rFonts w:ascii="Times New Roman;sans-serif" w:hAnsi="Times New Roman;sans-serif"/>
          <w:b w:val="false"/>
          <w:color w:val="000000"/>
          <w:sz w:val="24"/>
        </w:rPr>
        <w:t>), CPB Operator, LLC, a Delaware limited liability company and indirect wholly owned subsidiary of CPJV, (“</w:t>
      </w:r>
      <w:r>
        <w:rPr>
          <w:rFonts w:ascii="Times New Roman;sans-serif" w:hAnsi="Times New Roman;sans-serif"/>
          <w:b/>
          <w:i/>
          <w:color w:val="000000"/>
          <w:sz w:val="24"/>
        </w:rPr>
        <w:t>CPB Operator</w:t>
      </w:r>
      <w:r>
        <w:rPr>
          <w:color w:val="000000"/>
        </w:rPr>
        <w:t>”</w:t>
      </w:r>
      <w:r>
        <w:rPr>
          <w:rFonts w:ascii="Times New Roman;sans-serif" w:hAnsi="Times New Roman;sans-serif"/>
          <w:b w:val="false"/>
          <w:color w:val="000000"/>
          <w:sz w:val="24"/>
        </w:rPr>
        <w:t>), CPB Water LLC, a Delaware limited liability company and indirect wholly owned subsidiary of CPJV (“</w:t>
      </w:r>
      <w:r>
        <w:rPr>
          <w:rFonts w:ascii="Times New Roman;sans-serif" w:hAnsi="Times New Roman;sans-serif"/>
          <w:b/>
          <w:i/>
          <w:color w:val="000000"/>
          <w:sz w:val="24"/>
        </w:rPr>
        <w:t>CPB Water</w:t>
      </w:r>
      <w:r>
        <w:rPr>
          <w:color w:val="000000"/>
        </w:rPr>
        <w:t>”</w:t>
      </w:r>
      <w:r>
        <w:rPr>
          <w:rFonts w:ascii="Times New Roman;sans-serif" w:hAnsi="Times New Roman;sans-serif"/>
          <w:b w:val="false"/>
          <w:color w:val="000000"/>
          <w:sz w:val="24"/>
        </w:rPr>
        <w:t>), CPB Bowser SWD #1 LLC, a Delaware limited liability company and indirect wholly owned subsidiary of CPJV (“</w:t>
      </w:r>
      <w:r>
        <w:rPr>
          <w:rFonts w:ascii="Times New Roman;sans-serif" w:hAnsi="Times New Roman;sans-serif"/>
          <w:b/>
          <w:i/>
          <w:color w:val="000000"/>
          <w:sz w:val="24"/>
        </w:rPr>
        <w:t>CPB Bowser #1</w:t>
      </w:r>
      <w:r>
        <w:rPr>
          <w:color w:val="000000"/>
        </w:rPr>
        <w:t>”</w:t>
      </w:r>
      <w:r>
        <w:rPr>
          <w:rFonts w:ascii="Times New Roman;sans-serif" w:hAnsi="Times New Roman;sans-serif"/>
          <w:b w:val="false"/>
          <w:color w:val="000000"/>
          <w:sz w:val="24"/>
        </w:rPr>
        <w:t>) and CPB Bowser SWD #2 LLC, a Delaware limited liability company and indirect wholly owned subsidiary of CPJV (“</w:t>
      </w:r>
      <w:r>
        <w:rPr>
          <w:rFonts w:ascii="Times New Roman;sans-serif" w:hAnsi="Times New Roman;sans-serif"/>
          <w:b/>
          <w:i/>
          <w:color w:val="000000"/>
          <w:sz w:val="24"/>
        </w:rPr>
        <w:t>CPB Bowser #2</w:t>
      </w:r>
      <w:r>
        <w:rPr>
          <w:color w:val="000000"/>
        </w:rPr>
        <w:t xml:space="preserve">” </w:t>
      </w:r>
      <w:r>
        <w:rPr>
          <w:rFonts w:ascii="Times New Roman;sans-serif" w:hAnsi="Times New Roman;sans-serif"/>
          <w:b w:val="false"/>
          <w:color w:val="000000"/>
          <w:sz w:val="24"/>
        </w:rPr>
        <w:t>and, together with CPJV, CPB Subsidiary, Crestwood New Mexico, CPB Transportation, CPB Operator, CPB Water, and CPB Bpwswer #1, the “</w:t>
      </w:r>
      <w:r>
        <w:rPr>
          <w:rFonts w:ascii="Times New Roman;sans-serif" w:hAnsi="Times New Roman;sans-serif"/>
          <w:b/>
          <w:i/>
          <w:color w:val="000000"/>
          <w:sz w:val="24"/>
        </w:rPr>
        <w:t>New Guarantors</w:t>
      </w:r>
      <w:r>
        <w:rPr>
          <w:color w:val="000000"/>
        </w:rPr>
        <w:t>”</w:t>
      </w:r>
      <w:r>
        <w:rPr>
          <w:rFonts w:ascii="Times New Roman;sans-serif" w:hAnsi="Times New Roman;sans-serif"/>
          <w:b w:val="false"/>
          <w:color w:val="000000"/>
          <w:sz w:val="24"/>
        </w:rPr>
        <w:t>), each a Domestic Subsidiary of the Company, the Company, Crestwood Midstream Finance Corporation, a Delaware corporation (the “</w:t>
      </w:r>
      <w:r>
        <w:rPr>
          <w:rFonts w:ascii="Times New Roman;sans-serif" w:hAnsi="Times New Roman;sans-serif"/>
          <w:b/>
          <w:i/>
          <w:color w:val="000000"/>
          <w:sz w:val="24"/>
        </w:rPr>
        <w:t>Co-Issuer</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i/>
          <w:color w:val="000000"/>
          <w:sz w:val="24"/>
        </w:rPr>
        <w:t>Issuers</w:t>
      </w:r>
      <w:r>
        <w:rPr>
          <w:color w:val="000000"/>
        </w:rPr>
        <w:t>”</w:t>
      </w:r>
      <w:r>
        <w:rPr>
          <w:rFonts w:ascii="Times New Roman;sans-serif" w:hAnsi="Times New Roman;sans-serif"/>
          <w:b w:val="false"/>
          <w:color w:val="000000"/>
          <w:sz w:val="24"/>
        </w:rPr>
        <w:t xml:space="preserve">), each existing Guarantor under the Indenture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collectively, the “</w:t>
      </w:r>
      <w:r>
        <w:rPr>
          <w:rFonts w:ascii="Times New Roman;sans-serif" w:hAnsi="Times New Roman;sans-serif"/>
          <w:b/>
          <w:i/>
          <w:color w:val="000000"/>
          <w:sz w:val="24"/>
        </w:rPr>
        <w:t>Existing Guarantors</w:t>
      </w:r>
      <w:r>
        <w:rPr>
          <w:color w:val="000000"/>
        </w:rPr>
        <w:t>”</w:t>
      </w:r>
      <w:r>
        <w:rPr>
          <w:rFonts w:ascii="Times New Roman;sans-serif" w:hAnsi="Times New Roman;sans-serif"/>
          <w:b w:val="false"/>
          <w:color w:val="000000"/>
          <w:sz w:val="24"/>
        </w:rPr>
        <w:t>) and U.S. Bank Trust Company, National Association, as successor in interest to U.S. Bank National Association, as trustee under the Indenture referred to below (the “</w:t>
      </w:r>
      <w:r>
        <w:rPr>
          <w:rFonts w:ascii="Times New Roman;sans-serif" w:hAnsi="Times New Roman;sans-serif"/>
          <w:b/>
          <w:i/>
          <w:color w:val="000000"/>
          <w:sz w:val="24"/>
        </w:rPr>
        <w:t>Trustee</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Issuers and the Existing Guarantors have heretofore executed and delivered to the Trustee an indenture (as amended and supplemented to the date hereof, the “</w:t>
      </w:r>
      <w:r>
        <w:rPr>
          <w:rFonts w:ascii="Times New Roman;sans-serif" w:hAnsi="Times New Roman;sans-serif"/>
          <w:b/>
          <w:i/>
          <w:color w:val="000000"/>
          <w:sz w:val="24"/>
        </w:rPr>
        <w:t>Indenture</w:t>
      </w:r>
      <w:r>
        <w:rPr>
          <w:color w:val="000000"/>
        </w:rPr>
        <w:t>”</w:t>
      </w:r>
      <w:r>
        <w:rPr>
          <w:rFonts w:ascii="Times New Roman;sans-serif" w:hAnsi="Times New Roman;sans-serif"/>
          <w:b w:val="false"/>
          <w:color w:val="000000"/>
          <w:sz w:val="24"/>
        </w:rPr>
        <w:t>), dated as of April 15, 2019, providing for the issuance of the Issuers’ 5.625% Senior Notes due 2027 (the “</w:t>
      </w:r>
      <w:r>
        <w:rPr>
          <w:rFonts w:ascii="Times New Roman;sans-serif" w:hAnsi="Times New Roman;sans-serif"/>
          <w:b/>
          <w:i/>
          <w:color w:val="000000"/>
          <w:sz w:val="24"/>
        </w:rPr>
        <w:t>Notes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on July 11, 2022, pursuant to the consummation of the transactions contemplated under the Contribution Agreement, dated as of May 25, 2022, by and between Crestwood Equity Partners LP, a Delaware limited partnership of which the Company is a direct wholly owned subsidiary (“</w:t>
      </w:r>
      <w:r>
        <w:rPr>
          <w:rFonts w:ascii="Times New Roman;sans-serif" w:hAnsi="Times New Roman;sans-serif"/>
          <w:b/>
          <w:i/>
          <w:color w:val="000000"/>
          <w:sz w:val="24"/>
        </w:rPr>
        <w:t>CEQP</w:t>
      </w:r>
      <w:r>
        <w:rPr>
          <w:color w:val="000000"/>
        </w:rPr>
        <w:t>”</w:t>
      </w:r>
      <w:r>
        <w:rPr>
          <w:rFonts w:ascii="Times New Roman;sans-serif" w:hAnsi="Times New Roman;sans-serif"/>
          <w:b w:val="false"/>
          <w:color w:val="000000"/>
          <w:sz w:val="24"/>
        </w:rPr>
        <w:t>), and FR XIII Crestwood Permian Basin Holdings LLC, a Delaware limited liability company (“</w:t>
      </w:r>
      <w:r>
        <w:rPr>
          <w:rFonts w:ascii="Times New Roman;sans-serif" w:hAnsi="Times New Roman;sans-serif"/>
          <w:b/>
          <w:i/>
          <w:color w:val="000000"/>
          <w:sz w:val="24"/>
        </w:rPr>
        <w:t>FR XIII Crestwood</w:t>
      </w:r>
      <w:r>
        <w:rPr>
          <w:color w:val="000000"/>
        </w:rPr>
        <w:t>”</w:t>
      </w:r>
      <w:r>
        <w:rPr>
          <w:rFonts w:ascii="Times New Roman;sans-serif" w:hAnsi="Times New Roman;sans-serif"/>
          <w:b w:val="false"/>
          <w:color w:val="000000"/>
          <w:sz w:val="24"/>
        </w:rPr>
        <w:t>), FR XIII Crestwood contributed to CEQP 50% of the issued and outstanding membership interests in CPJV, CPJV became a wholly owned subsidiary of CEQP and CEQP was admitted as the sole member of CPJV;</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January 25, 2023, the Amended and Restated Credit Agreement, dated as of June 25, 2021, by and among CPB Subsidiary, CPJV, Wells Fargo Bank, National Association, the institutions set forth on Schedule 1 thereto and the other lenders party thereto, as amended by that certain First Amendment thereto, dated as of April 13, 2022, and as further amended, modified, and supplemented from time to time, was repaid in full and terminated, following which each of the New Guarantors will become guarantors under that certain Third Amended and Restated Credit Agreement, dated as of December 20, 2021, by and among the Company, the lenders party thereto in their capacities as lenders thereunder, Wells Fargo Bank, National Association, as administrative agent and collateral agent, and the other parties thereto, as amended by that certain First Amendment thereto, dated as of October 14, 2022;</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Section 4.15 of the Indenture provides that under the circumstances set forth therein, the New Guarantors shall execute and deliver to the Trustee a supplemental indenture pursuant to which the New Guarantors shall unconditionally guarantee all of the Issuers’ Obligations under the Indenture and the Notes on the terms and conditions set forth herein (the “</w:t>
      </w:r>
      <w:r>
        <w:rPr>
          <w:rFonts w:ascii="Times New Roman;sans-serif" w:hAnsi="Times New Roman;sans-serif"/>
          <w:b w:val="false"/>
          <w:i/>
          <w:color w:val="000000"/>
          <w:sz w:val="24"/>
        </w:rPr>
        <w:t>Note Guarantee</w:t>
      </w:r>
      <w:r>
        <w:rPr>
          <w:color w:val="000000"/>
        </w:rPr>
        <w:t>”</w:t>
      </w:r>
      <w:r>
        <w:rPr>
          <w:rFonts w:ascii="Times New Roman;sans-serif" w:hAnsi="Times New Roman;sans-serif"/>
          <w:b w:val="false"/>
          <w:color w:val="000000"/>
          <w:sz w:val="24"/>
        </w:rPr>
        <w:t>);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9.01 of the Indenture, the Trustee, the Issuers and the Existing Guarantors are authorized to execute and deliver this Supplemental Indenture.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of which is hereby acknowledged, the New Guarantors, the Issuers, the Existing Guarantors and the Trustee mutually covenant and agree for the equal and ratable benefit of the Holders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DEFINED TERMS. Defined terms used herein without definition shall have the meanings assigned to them in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AGREEMENT TO GUARANTEE. The New Guarantors hereby unconditionally Guarantee, jointly and severally with all Existing Guarantors, on the terms and subject to the conditions set forth in Article 10 of the Indenture and agrees to be bound by all other applicable provisions of the Indenture and the Notes and to perform all of the obligations and agreements of a Guarantor under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NO RECOURSE AGAINST OTHERS. No past, present or future director, manager, officer, employee, incorporator, stockholder, member or partner of either of the Issuers, any parent entity of the Company or any Subsidiary of the Company, as such, will have any liability for any obligations of the Issuers or the Guarantors under the Notes, this Indenture, the Note Guarantees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NOTICES. All notices or other communications to the New Guarantors shall be given as provided in Section 12.02 of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GOVERNING LAW. THIS SUPPLEMENTAL INDENTURE SHALL BE GOVERNED BY, AND CONSTRUED IN ACCORDANCE WITH, THE LAWS OF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50520"/>
                <wp:effectExtent l="0" t="0" r="0" b="0"/>
                <wp:wrapNone/>
                <wp:docPr id="58" name="Frame5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EFFECT OF HEADINGS. The Section headings of this Supplemental Indenture have been inserted for convenience of reference only and are not to be considered part of this Supplemental Indenture or the Indenture and will in no way modify or restrict any of the terms or provisions hereof or thereof.</w:t>
      </w:r>
    </w:p>
    <w:p>
      <w:pPr>
        <w:pStyle w:val="TextBody"/>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SEVERABILITY. In case any provision in this Supplemental Indenture shall be invalid, illegal or unenforceable, the validity, legality and enforceability of the remaining provisions will not in any way be affected or impaired thereby.</w:t>
      </w:r>
    </w:p>
    <w:p>
      <w:pPr>
        <w:pStyle w:val="TextBody"/>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TRUSTEE MAKES NO REPRESENTATION. The Trustee makes no representation as to the validity or sufficiency of this Supplemental Indenture. The recitals and statements herein are deemed to be those of the Issuers and the Guarantors and not those of the Trustee, and the Trustee assumes no responsibility for their correctness.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left intentionally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50520"/>
                <wp:effectExtent l="0" t="0" r="0" b="0"/>
                <wp:wrapNone/>
                <wp:docPr id="59" name="Frame5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to be duly executed and attested, all as of the date first above written.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February 13, 2023</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PARTNERS LP</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CRESTWOOD MIDSTREAM FINANCE CORP.</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02920"/>
                <wp:effectExtent l="0" t="0" r="0" b="0"/>
                <wp:wrapNone/>
                <wp:docPr id="60" name="Frame60"/>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4"/>
        </w:rPr>
        <w:t>U.S. BANK TRUST COMPANY</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t>NATIONAL ASSOCIATION</w:t>
      </w:r>
      <w:r>
        <w:rPr>
          <w:rFonts w:ascii="Times New Roman;sans-serif" w:hAnsi="Times New Roman;sans-serif"/>
          <w:b w:val="false"/>
          <w:color w:val="000000"/>
          <w:sz w:val="24"/>
        </w:rPr>
        <w:t>, as successor in interest to U.S. Bank National Association, as Trustee</w:t>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Brian Jensen    </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Name:    Brian Jensen</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02920"/>
                <wp:effectExtent l="0" t="0" r="0" b="0"/>
                <wp:wrapNone/>
                <wp:docPr id="61" name="Frame61"/>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MIDSTREAM HOLDINGS,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MANAGER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APPALACHIA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ENERGY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OPERATING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MIDSTREAM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SENDERO GP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FIELD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Arrow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02920"/>
                <wp:effectExtent l="0" t="0" r="0" b="0"/>
                <wp:wrapNone/>
                <wp:docPr id="62" name="Frame62"/>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ARKANSAS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PANHANDLE PIPELINE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LOGISTICS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FINGER LAKES LPG STORAGE,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TERMINALS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DAKOTA PIPELINES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Crude Logistics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02920"/>
                <wp:effectExtent l="0" t="0" r="0" b="0"/>
                <wp:wrapNone/>
                <wp:docPr id="63" name="Frame63"/>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MIDSTREAM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 MARCELLUS ASSET COMPANY,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Midstream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SALES &amp; SERVICE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Shareholder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STELLAR PROPANE SERVICE,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02920"/>
                <wp:effectExtent l="0" t="0" r="0" b="0"/>
                <wp:wrapNone/>
                <wp:docPr id="64" name="Frame64"/>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BEARTOOTH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BIGHORN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BOBCAT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PANTHER DEVCO LLC</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Rough Rider Operating LLC, its Managing Member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02920"/>
                <wp:effectExtent l="0" t="0" r="0" b="0"/>
                <wp:wrapNone/>
                <wp:docPr id="65" name="Frame65"/>
                <a:graphic xmlns:a="http://schemas.openxmlformats.org/drawingml/2006/main">
                  <a:graphicData uri="http://schemas.microsoft.com/office/word/2010/wordprocessingShape">
                    <wps:wsp>
                      <wps:cNvSpPr txBox="1"/>
                      <wps:spPr>
                        <a:xfrm>
                          <a:off x="0" y="0"/>
                          <a:ext cx="6480175" cy="502920"/>
                        </a:xfrm>
                        <a:prstGeom prst="rect"/>
                      </wps:spPr>
                      <wps:txb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24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PARTNERS,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HOLDINGS,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MIDSTREAM,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FINANCE,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50520"/>
                <wp:effectExtent l="0" t="0" r="0" b="0"/>
                <wp:wrapNone/>
                <wp:docPr id="66" name="Frame6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PERMIAN BASIN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SUBSIDIARY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NEW MEXICO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TRANSPORTATION &amp; MARKETING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WATER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#1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#2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Water LLC, it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0520"/>
                <wp:effectExtent l="0" t="0" r="0" b="0"/>
                <wp:wrapNone/>
                <wp:docPr id="67" name="Frame6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2027 Supplemental Indenture</w:t>
                      </w:r>
                    </w:p>
                    <w:p>
                      <w:pPr>
                        <w:pStyle w:val="TextBody"/>
                        <w:spacing w:before="0" w:after="240"/>
                        <w:jc w:val="both"/>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ARROW FIELD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ARROW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ARROW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ARROW WATER,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ARROW WATER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BEARTOOTH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BIGHORN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BOBCAT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CMLP TRES MANAGER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CMLP TRES OPERATOR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CRESTWOOD APPALACHIA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CRESTWOOD ARKANSAS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CRESTWOOD CRUDE LOGISTICS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CRESTWOOD CRUDE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CRESTWOOD CRUDE TERMINALS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    CRESTWOOD CRUDE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CRESTWOOD DAKOTA PIPELINES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CRESTWOOD ENERGY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19.    CRESTWOOD MARCELLUS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20.    CRESTWOOD MARCELLUS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    CRESTWOOD MIDSTREAM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22.    CRESTWOOD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    CRESTWOOD PANHANDLE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    CRESTWOOD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    CRESTWOOD SALES &amp; SERVICES INC.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26.    CRESTWOOD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    CRESTWOOD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28.    E. MARCELLUS ASSET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29.    FINGER LAKES LPG STORAGE,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    STELLAR PROPANE SERVICE,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31.    PANTHER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32.    ROUGH RIDER MIDSTREAM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    ROUGH RIDER OPERATING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34.    CRESTWOOD SENDERO GP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35.    SENDERO MIDSTREAM PARTNERS, LP</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36.    SENDERO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37.    SENDERO CARLSBAD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38.    SENDERO CARLSBAD FINANCE, LLC </w:t>
      </w:r>
    </w:p>
    <w:p>
      <w:pPr>
        <w:pStyle w:val="TextBody"/>
        <w:spacing w:before="0" w:after="240"/>
        <w:jc w:val="both"/>
        <w:rPr/>
      </w:pPr>
      <w:r>
        <w:rPr/>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4.5</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50520"/>
                <wp:effectExtent l="0" t="0" r="0" b="0"/>
                <wp:wrapNone/>
                <wp:docPr id="68" name="Frame6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v:textbox>
              </v:rect>
            </w:pict>
          </mc:Fallback>
        </mc:AlternateContent>
      </w:r>
    </w:p>
    <w:p>
      <w:pPr>
        <w:pStyle w:val="TextBody"/>
        <w:spacing w:lineRule="auto" w:line="240" w:before="0" w:after="2"/>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THIRD SUPPLEMENTAL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THIRD SUPPLEMENTAL INDENTURE (this “</w:t>
      </w:r>
      <w:r>
        <w:rPr>
          <w:rFonts w:ascii="Times New Roman;sans-serif" w:hAnsi="Times New Roman;sans-serif"/>
          <w:b/>
          <w:i/>
          <w:color w:val="000000"/>
          <w:sz w:val="24"/>
        </w:rPr>
        <w:t>Supplemental Indenture</w:t>
      </w:r>
      <w:r>
        <w:rPr>
          <w:color w:val="000000"/>
        </w:rPr>
        <w:t>”</w:t>
      </w:r>
      <w:r>
        <w:rPr>
          <w:rFonts w:ascii="Times New Roman;sans-serif" w:hAnsi="Times New Roman;sans-serif"/>
          <w:b w:val="false"/>
          <w:color w:val="000000"/>
          <w:sz w:val="24"/>
        </w:rPr>
        <w:t>) to the Indenture (as defined below), dated as of February 13, 2023, by and among Crestwood Permian Basin Holdings LLC, a Delaware limited liability company (“</w:t>
      </w:r>
      <w:r>
        <w:rPr>
          <w:rFonts w:ascii="Times New Roman;sans-serif" w:hAnsi="Times New Roman;sans-serif"/>
          <w:b/>
          <w:i/>
          <w:color w:val="000000"/>
          <w:sz w:val="24"/>
        </w:rPr>
        <w:t>CPJV</w:t>
      </w:r>
      <w:r>
        <w:rPr>
          <w:color w:val="000000"/>
        </w:rPr>
        <w:t>”</w:t>
      </w:r>
      <w:r>
        <w:rPr>
          <w:rFonts w:ascii="Times New Roman;sans-serif" w:hAnsi="Times New Roman;sans-serif"/>
          <w:b w:val="false"/>
          <w:color w:val="000000"/>
          <w:sz w:val="24"/>
        </w:rPr>
        <w:t>) and indirect wholly owned subsidiary of Crestwood Midstream Partners LP, a Delaware limited partnership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CPB Subsidiary Holdings LLC, a Delaware limited liability company and direct wholly owned subsidiary of CPJV (“</w:t>
      </w:r>
      <w:r>
        <w:rPr>
          <w:rFonts w:ascii="Times New Roman;sans-serif" w:hAnsi="Times New Roman;sans-serif"/>
          <w:b/>
          <w:i/>
          <w:color w:val="000000"/>
          <w:sz w:val="24"/>
        </w:rPr>
        <w:t>CPB Subsidiary</w:t>
      </w:r>
      <w:r>
        <w:rPr>
          <w:color w:val="000000"/>
        </w:rPr>
        <w:t>”</w:t>
      </w:r>
      <w:r>
        <w:rPr>
          <w:rFonts w:ascii="Times New Roman;sans-serif" w:hAnsi="Times New Roman;sans-serif"/>
          <w:b w:val="false"/>
          <w:color w:val="000000"/>
          <w:sz w:val="24"/>
        </w:rPr>
        <w:t>), Crestwood New Mexico Pipeline LLC, a Texas limited liability company and indirect wholly owned subsidiary of CPJV (“</w:t>
      </w:r>
      <w:r>
        <w:rPr>
          <w:rFonts w:ascii="Times New Roman;sans-serif" w:hAnsi="Times New Roman;sans-serif"/>
          <w:b/>
          <w:i/>
          <w:color w:val="000000"/>
          <w:sz w:val="24"/>
        </w:rPr>
        <w:t>Crestwood New Mexico</w:t>
      </w:r>
      <w:r>
        <w:rPr>
          <w:color w:val="000000"/>
        </w:rPr>
        <w:t>”</w:t>
      </w:r>
      <w:r>
        <w:rPr>
          <w:rFonts w:ascii="Times New Roman;sans-serif" w:hAnsi="Times New Roman;sans-serif"/>
          <w:b w:val="false"/>
          <w:color w:val="000000"/>
          <w:sz w:val="24"/>
        </w:rPr>
        <w:t>), CPB Transportation &amp; Marketing LLC, a Delaware limited liability company and indirect wholly owned subsidiary of CPJV (“</w:t>
      </w:r>
      <w:r>
        <w:rPr>
          <w:rFonts w:ascii="Times New Roman;sans-serif" w:hAnsi="Times New Roman;sans-serif"/>
          <w:b/>
          <w:i/>
          <w:color w:val="000000"/>
          <w:sz w:val="24"/>
        </w:rPr>
        <w:t>CPB Transportation</w:t>
      </w:r>
      <w:r>
        <w:rPr>
          <w:color w:val="000000"/>
        </w:rPr>
        <w:t>”</w:t>
      </w:r>
      <w:r>
        <w:rPr>
          <w:rFonts w:ascii="Times New Roman;sans-serif" w:hAnsi="Times New Roman;sans-serif"/>
          <w:b w:val="false"/>
          <w:color w:val="000000"/>
          <w:sz w:val="24"/>
        </w:rPr>
        <w:t>), CPB Operator LLC, a Delaware limited liability company and indirect wholly owned subsidiary of CPJV ("</w:t>
      </w:r>
      <w:r>
        <w:rPr>
          <w:rFonts w:ascii="Times New Roman;sans-serif" w:hAnsi="Times New Roman;sans-serif"/>
          <w:b/>
          <w:i/>
          <w:color w:val="000000"/>
          <w:sz w:val="24"/>
        </w:rPr>
        <w:t>CPB Operator</w:t>
      </w:r>
      <w:r>
        <w:rPr>
          <w:rFonts w:ascii="Times New Roman;sans-serif" w:hAnsi="Times New Roman;sans-serif"/>
          <w:b w:val="false"/>
          <w:color w:val="000000"/>
          <w:sz w:val="24"/>
        </w:rPr>
        <w:t>"), CPB Water LLC, a Delaware limited liability company and indirect wholly owned subsidiary of CPJV (“</w:t>
      </w:r>
      <w:r>
        <w:rPr>
          <w:rFonts w:ascii="Times New Roman;sans-serif" w:hAnsi="Times New Roman;sans-serif"/>
          <w:b/>
          <w:i/>
          <w:color w:val="000000"/>
          <w:sz w:val="24"/>
        </w:rPr>
        <w:t>CPB Water</w:t>
      </w:r>
      <w:r>
        <w:rPr>
          <w:color w:val="000000"/>
        </w:rPr>
        <w:t>”</w:t>
      </w:r>
      <w:r>
        <w:rPr>
          <w:rFonts w:ascii="Times New Roman;sans-serif" w:hAnsi="Times New Roman;sans-serif"/>
          <w:b w:val="false"/>
          <w:color w:val="000000"/>
          <w:sz w:val="24"/>
        </w:rPr>
        <w:t>), CPB Bowser SWD #1 LLC, a Delaware limited liability company and indirect wholly owned subsidiary of CPJV (“</w:t>
      </w:r>
      <w:r>
        <w:rPr>
          <w:rFonts w:ascii="Times New Roman;sans-serif" w:hAnsi="Times New Roman;sans-serif"/>
          <w:b/>
          <w:i/>
          <w:color w:val="000000"/>
          <w:sz w:val="24"/>
        </w:rPr>
        <w:t>CPB Bowser #1</w:t>
      </w:r>
      <w:r>
        <w:rPr>
          <w:color w:val="000000"/>
        </w:rPr>
        <w:t>”</w:t>
      </w:r>
      <w:r>
        <w:rPr>
          <w:rFonts w:ascii="Times New Roman;sans-serif" w:hAnsi="Times New Roman;sans-serif"/>
          <w:b w:val="false"/>
          <w:color w:val="000000"/>
          <w:sz w:val="24"/>
        </w:rPr>
        <w:t>)and CPB Bowser SWD #2 LLC, a Delaware limited liability company and indirect wholly owned subsidiary of CPJV (“</w:t>
      </w:r>
      <w:r>
        <w:rPr>
          <w:rFonts w:ascii="Times New Roman;sans-serif" w:hAnsi="Times New Roman;sans-serif"/>
          <w:b/>
          <w:i/>
          <w:color w:val="000000"/>
          <w:sz w:val="24"/>
        </w:rPr>
        <w:t>CPB Bowser #2</w:t>
      </w:r>
      <w:r>
        <w:rPr>
          <w:color w:val="000000"/>
        </w:rPr>
        <w:t xml:space="preserve">” </w:t>
      </w:r>
      <w:r>
        <w:rPr>
          <w:rFonts w:ascii="Times New Roman;sans-serif" w:hAnsi="Times New Roman;sans-serif"/>
          <w:b w:val="false"/>
          <w:color w:val="000000"/>
          <w:sz w:val="24"/>
        </w:rPr>
        <w:t>and, together with CPJV, CPB Subsidiary, Crestwood New Mexico, CPB Transportation, CPB Operator, CPB Water and CPB Bowser #1, the “</w:t>
      </w:r>
      <w:r>
        <w:rPr>
          <w:rFonts w:ascii="Times New Roman;sans-serif" w:hAnsi="Times New Roman;sans-serif"/>
          <w:b/>
          <w:i/>
          <w:color w:val="000000"/>
          <w:sz w:val="24"/>
        </w:rPr>
        <w:t>New Guarantors</w:t>
      </w:r>
      <w:r>
        <w:rPr>
          <w:color w:val="000000"/>
        </w:rPr>
        <w:t>”</w:t>
      </w:r>
      <w:r>
        <w:rPr>
          <w:rFonts w:ascii="Times New Roman;sans-serif" w:hAnsi="Times New Roman;sans-serif"/>
          <w:b w:val="false"/>
          <w:color w:val="000000"/>
          <w:sz w:val="24"/>
        </w:rPr>
        <w:t>), each a Domestic Subsidiary of the Company, the Company, Crestwood Midstream Finance Corporation, a Delaware corporation (the “</w:t>
      </w:r>
      <w:r>
        <w:rPr>
          <w:rFonts w:ascii="Times New Roman;sans-serif" w:hAnsi="Times New Roman;sans-serif"/>
          <w:b/>
          <w:i/>
          <w:color w:val="000000"/>
          <w:sz w:val="24"/>
        </w:rPr>
        <w:t>Co-Issuer</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i/>
          <w:color w:val="000000"/>
          <w:sz w:val="24"/>
        </w:rPr>
        <w:t>Issuers</w:t>
      </w:r>
      <w:r>
        <w:rPr>
          <w:color w:val="000000"/>
        </w:rPr>
        <w:t>”</w:t>
      </w:r>
      <w:r>
        <w:rPr>
          <w:rFonts w:ascii="Times New Roman;sans-serif" w:hAnsi="Times New Roman;sans-serif"/>
          <w:b w:val="false"/>
          <w:color w:val="000000"/>
          <w:sz w:val="24"/>
        </w:rPr>
        <w:t xml:space="preserve">), each existing Guarantor under the Indenture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collectively, the “</w:t>
      </w:r>
      <w:r>
        <w:rPr>
          <w:rFonts w:ascii="Times New Roman;sans-serif" w:hAnsi="Times New Roman;sans-serif"/>
          <w:b/>
          <w:i/>
          <w:color w:val="000000"/>
          <w:sz w:val="24"/>
        </w:rPr>
        <w:t>Existing Guarantors</w:t>
      </w:r>
      <w:r>
        <w:rPr>
          <w:color w:val="000000"/>
        </w:rPr>
        <w:t>”</w:t>
      </w:r>
      <w:r>
        <w:rPr>
          <w:rFonts w:ascii="Times New Roman;sans-serif" w:hAnsi="Times New Roman;sans-serif"/>
          <w:b w:val="false"/>
          <w:color w:val="000000"/>
          <w:sz w:val="24"/>
        </w:rPr>
        <w:t>) and U.S. Bank Trust Company, National Association, as successor in interest to U.S. Bank National Association, as trustee under the Indenture referred to below (the “</w:t>
      </w:r>
      <w:r>
        <w:rPr>
          <w:rFonts w:ascii="Times New Roman;sans-serif" w:hAnsi="Times New Roman;sans-serif"/>
          <w:b/>
          <w:i/>
          <w:color w:val="000000"/>
          <w:sz w:val="24"/>
        </w:rPr>
        <w:t>Trustee</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Issuers and the Existing Guarantors have heretofore executed and delivered to the Trustee an indenture (as amended and supplemented to the date hereof, the “</w:t>
      </w:r>
      <w:r>
        <w:rPr>
          <w:rFonts w:ascii="Times New Roman;sans-serif" w:hAnsi="Times New Roman;sans-serif"/>
          <w:b/>
          <w:i/>
          <w:color w:val="000000"/>
          <w:sz w:val="24"/>
        </w:rPr>
        <w:t>Indenture</w:t>
      </w:r>
      <w:r>
        <w:rPr>
          <w:color w:val="000000"/>
        </w:rPr>
        <w:t>”</w:t>
      </w:r>
      <w:r>
        <w:rPr>
          <w:rFonts w:ascii="Times New Roman;sans-serif" w:hAnsi="Times New Roman;sans-serif"/>
          <w:b w:val="false"/>
          <w:color w:val="000000"/>
          <w:sz w:val="24"/>
        </w:rPr>
        <w:t>), dated as of January 21, 2021, providing for the issuance of the Issuers’ 6.00% Senior Notes due 2029 (the “</w:t>
      </w:r>
      <w:r>
        <w:rPr>
          <w:rFonts w:ascii="Times New Roman;sans-serif" w:hAnsi="Times New Roman;sans-serif"/>
          <w:b/>
          <w:i/>
          <w:color w:val="000000"/>
          <w:sz w:val="24"/>
        </w:rPr>
        <w:t>Notes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on July 11, 2022, pursuant to the consummation of the transactions contemplated under the Contribution Agreement, dated as of May 25, 2022, by and between Crestwood Equity Partners LP, a Delaware limited partnership of which the Company is a direct wholly owned subsidiary (“</w:t>
      </w:r>
      <w:r>
        <w:rPr>
          <w:rFonts w:ascii="Times New Roman;sans-serif" w:hAnsi="Times New Roman;sans-serif"/>
          <w:b/>
          <w:i/>
          <w:color w:val="000000"/>
          <w:sz w:val="24"/>
        </w:rPr>
        <w:t>CEQP</w:t>
      </w:r>
      <w:r>
        <w:rPr>
          <w:color w:val="000000"/>
        </w:rPr>
        <w:t>”</w:t>
      </w:r>
      <w:r>
        <w:rPr>
          <w:rFonts w:ascii="Times New Roman;sans-serif" w:hAnsi="Times New Roman;sans-serif"/>
          <w:b w:val="false"/>
          <w:color w:val="000000"/>
          <w:sz w:val="24"/>
        </w:rPr>
        <w:t>), and FR XIII Crestwood Permian Basin Holdings LLC, a Delaware limited liability company (“</w:t>
      </w:r>
      <w:r>
        <w:rPr>
          <w:rFonts w:ascii="Times New Roman;sans-serif" w:hAnsi="Times New Roman;sans-serif"/>
          <w:b/>
          <w:i/>
          <w:color w:val="000000"/>
          <w:sz w:val="24"/>
        </w:rPr>
        <w:t>FR XIII Crestwood</w:t>
      </w:r>
      <w:r>
        <w:rPr>
          <w:color w:val="000000"/>
        </w:rPr>
        <w:t>”</w:t>
      </w:r>
      <w:r>
        <w:rPr>
          <w:rFonts w:ascii="Times New Roman;sans-serif" w:hAnsi="Times New Roman;sans-serif"/>
          <w:b w:val="false"/>
          <w:color w:val="000000"/>
          <w:sz w:val="24"/>
        </w:rPr>
        <w:t>), FR XIII Crestwood contributed to CEQP 50% of the issued and outstanding membership interests in CPJV, CPJV became a wholly owned subsidiary of CEQP and CEQP was admitted as the sole member of CPJV;</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January 25, 2023, the Amended and Restated Credit Agreement, dated as of June 25, 2021, by and among CPB Subsidiary, CPJV, Wells Fargo Bank, National Association, the institutions set forth on Schedule 1 thereto and the other lenders party thereto, as amended by that certain First Amendment thereto, dated as of April 13, 2022, and as further amended, modified and supplemented from time to time, was repaid in full and terminated, following which each of the New Guarantors will become guarantors under that certain Third Amended and Restated Credit Agreement, dated as of December 20, 2021, by and among the Company, the lenders party thereto in their capacities as lenders thereunder, Wells Fargo Bank, National Association, as administrative agent and collateral agent, and the other parties thereto, as amended by that certain First Amendment thereto, dated as of October 14, 2022;</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Section 4.15 of the Indenture provides that under the circumstances set forth therein, the New Guarantors shall execute and deliver to the Trustee a supplemental indenture pursuant to which the New Guarantors shall unconditionally guarantee all of the Issuers’ Obligations under the Indenture and the Notes on the terms and conditions set forth herein (the “</w:t>
      </w:r>
      <w:r>
        <w:rPr>
          <w:rFonts w:ascii="Times New Roman;sans-serif" w:hAnsi="Times New Roman;sans-serif"/>
          <w:b/>
          <w:i/>
          <w:color w:val="000000"/>
          <w:sz w:val="24"/>
        </w:rPr>
        <w:t>Note Guarantee</w:t>
      </w:r>
      <w:r>
        <w:rPr>
          <w:color w:val="000000"/>
        </w:rPr>
        <w:t>”</w:t>
      </w:r>
      <w:r>
        <w:rPr>
          <w:rFonts w:ascii="Times New Roman;sans-serif" w:hAnsi="Times New Roman;sans-serif"/>
          <w:b w:val="false"/>
          <w:color w:val="000000"/>
          <w:sz w:val="24"/>
        </w:rPr>
        <w:t>);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9.01 of the Indenture, the Trustee, the Issuers and the Existing Guarantors are authorized to execute and deliver this Supplemental Indenture.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of which is hereby acknowledged, the New Guarantors, the Issuers, the Existing Guarantors and the Trustee mutually covenant and agree for the equal and ratable benefit of the Holders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DEFINED TERMS. Defined terms used herein without definition shall have the meanings assigned to them in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AGREEMENT TO GUARANTEE. The New Guarantors hereby unconditionally Guarantee, jointly and severally with all Existing Guarantors, on the terms and subject to the conditions set forth in Article 10 of the Indenture and agrees to be bound by all other applicable provisions of the Indenture and the Notes and to perform all of the obligations and agreements of a Guarantor under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NO RECOURSE AGAINST OTHERS. No past, present or future director, manager, officer, employee, incorporator, stockholder, member or partner of either of the Issuers, any parent entity of the Company or any Subsidiary of the Company, as such, will have any liability for any obligations of the Issuers or the Guarantors under the Notes, this Indenture, the Note Guarantees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NOTICES. All notices or other communications to the New Guarantors shall be given as provided in Section 12.02 of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GOVERNING LAW. THIS SUPPLEMENTAL INDENTURE SHALL BE GOVERNED BY, AND CONSTRUED IN ACCORDANCE WITH, THE LAWS OF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50520"/>
                <wp:effectExtent l="0" t="0" r="0" b="0"/>
                <wp:wrapNone/>
                <wp:docPr id="70" name="Frame7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EFFECT OF HEADINGS. The Section headings of this Supplemental Indenture have been inserted for convenience of reference only and are not to be considered part of this Supplemental Indenture or the Indenture and will in no way modify or restrict any of the terms or provisions hereof or thereof.</w:t>
      </w:r>
    </w:p>
    <w:p>
      <w:pPr>
        <w:pStyle w:val="TextBody"/>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SEVERABILITY. In case any provision in this Supplemental Indenture shall be invalid, illegal or unenforceable, the validity, legality and enforceability of the remaining provisions will not in any way be affected or impaired thereby.</w:t>
      </w:r>
    </w:p>
    <w:p>
      <w:pPr>
        <w:pStyle w:val="TextBody"/>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TRUSTEE MAKES NO REPRESENTATION. The Trustee makes no representation as to the validity or sufficiency of this Supplemental Indenture. The recitals and statements herein are deemed to be those of the Issuers and the Guarantors and not those of the Trustee, and the Trustee assumes no responsibility for their correctness.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left intentionally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50520"/>
                <wp:effectExtent l="0" t="0" r="0" b="0"/>
                <wp:wrapNone/>
                <wp:docPr id="71" name="Frame7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to be duly executed and attested, all as of the date first above written.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February 13, 2023</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PARTNERS LP</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CRESTWOOD MIDSTREAM FINANCE CORP.</w:t>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50520"/>
                <wp:effectExtent l="0" t="0" r="0" b="0"/>
                <wp:wrapNone/>
                <wp:docPr id="72" name="Frame7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4"/>
        </w:rPr>
        <w:t>U.S. BANK TRUST COMPANY</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t>NATIONAL ASSOCIATION</w:t>
      </w:r>
      <w:r>
        <w:rPr>
          <w:rFonts w:ascii="Times New Roman;sans-serif" w:hAnsi="Times New Roman;sans-serif"/>
          <w:b w:val="false"/>
          <w:color w:val="000000"/>
          <w:sz w:val="24"/>
        </w:rPr>
        <w:t>, as successor in interest to U.S. Bank National Association, as Trustee</w:t>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Brian Jensen    </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Name:    Brian Jensen</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50520"/>
                <wp:effectExtent l="0" t="0" r="0" b="0"/>
                <wp:wrapNone/>
                <wp:docPr id="73" name="Frame7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MIDSTREAM HOLDINGS,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MANAGER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APPALACHIA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ENERGY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OPERATING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MIDSTREAM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SENDERO GP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FIELD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Arrow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50520"/>
                <wp:effectExtent l="0" t="0" r="0" b="0"/>
                <wp:wrapNone/>
                <wp:docPr id="74" name="Frame7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ARKANSAS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PANHANDLE PIPELINE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LOGISTICS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FINGER LAKES LPG STORAGE,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TERMINALS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DAKOTA PIPELINES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Crude Logistics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350520"/>
                <wp:effectExtent l="0" t="0" r="0" b="0"/>
                <wp:wrapNone/>
                <wp:docPr id="75" name="Frame7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MIDSTREAM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 MARCELLUS ASSET COMPANY,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Midstream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SALES &amp; SERVICE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Shareholder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STELLAR PROPANE SERVICE,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350520"/>
                <wp:effectExtent l="0" t="0" r="0" b="0"/>
                <wp:wrapNone/>
                <wp:docPr id="76" name="Frame7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BEARTOOTH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BIGHORN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BOBCAT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PANTHER DEVCO LLC</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Rough Rider Operating LLC, its Managing Member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350520"/>
                <wp:effectExtent l="0" t="0" r="0" b="0"/>
                <wp:wrapNone/>
                <wp:docPr id="77" name="Frame7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PARTNERS,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HOLDINGS,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By: Crestwood Sendero GP LLC, its General Partner </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MIDSTREAM,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FINANCE,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350520"/>
                <wp:effectExtent l="0" t="0" r="0" b="0"/>
                <wp:wrapNone/>
                <wp:docPr id="78" name="Frame7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PERMIAN BASIN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SUBSIDIARY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NEW MEXICO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TRANSPORTATION &amp; MARKETING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WATER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#1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#2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Water LLC,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350520"/>
                <wp:effectExtent l="0" t="0" r="0" b="0"/>
                <wp:wrapNone/>
                <wp:docPr id="79" name="Frame7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2029 Supplemental Indenture</w:t>
                      </w:r>
                    </w:p>
                    <w:p>
                      <w:pPr>
                        <w:pStyle w:val="TextBody"/>
                        <w:spacing w:before="0" w:after="240"/>
                        <w:jc w:val="both"/>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ARROW FIELD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ARROW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ARROW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ARROW WATER,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ARROW WATER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BEARTOOTH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BIGHORN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BOBCAT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CMLP TRES MANAGER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CMLP TRES OPERATOR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CRESTWOOD APPALACHIA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CRESTWOOD ARKANSAS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CRESTWOOD CRUDE LOGISTICS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CRESTWOOD CRUDE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CRESTWOOD CRUDE TERMINALS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    CRESTWOOD CRUDE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CRESTWOOD DAKOTA PIPELINES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CRESTWOOD ENERGY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19.    CRESTWOOD MARCELLUS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20.    CRESTWOOD MARCELLUS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    CRESTWOOD MIDSTREAM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22.    CRESTWOOD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    CRESTWOOD PANHANDLE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    CRESTWOOD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    CRESTWOOD SALES &amp; SERVICES INC.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26.    CRESTWOOD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    CRESTWOOD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28.    E. MARCELLUS ASSET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29.    FINGER LAKES LPG STORAGE,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    STELLAR PROPANE SERVICE,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31.    PANTHER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32.    ROUGH RIDER MIDSTREAM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    ROUGH RIDER OPERATING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34.    CRESTWOOD SENDERO GP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35.    SENDERO MIDSTREAM PARTNERS, LP</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36.    SENDERO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37.    SENDERO CARLSBAD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38.    SENDERO CARLSBAD FINANCE, LLC</w:t>
      </w:r>
    </w:p>
    <w:p>
      <w:pPr>
        <w:pStyle w:val="TextBody"/>
        <w:spacing w:before="0" w:after="240"/>
        <w:jc w:val="both"/>
        <w:rPr/>
      </w:pPr>
      <w:r>
        <w:rPr/>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4.6</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0520"/>
                <wp:effectExtent l="0" t="0" r="0" b="0"/>
                <wp:wrapNone/>
                <wp:docPr id="80" name="Frame8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v:textbox>
              </v:rect>
            </w:pict>
          </mc:Fallback>
        </mc:AlternateContent>
      </w:r>
    </w:p>
    <w:p>
      <w:pPr>
        <w:pStyle w:val="TextBody"/>
        <w:spacing w:lineRule="auto" w:line="240" w:before="0" w:after="2"/>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THIRD SUPPLEMENTAL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THIRD SUPPLEMENTAL INDENTURE (this “</w:t>
      </w:r>
      <w:r>
        <w:rPr>
          <w:rFonts w:ascii="Times New Roman;sans-serif" w:hAnsi="Times New Roman;sans-serif"/>
          <w:b/>
          <w:i/>
          <w:color w:val="000000"/>
          <w:sz w:val="24"/>
        </w:rPr>
        <w:t>Supplemental Indenture</w:t>
      </w:r>
      <w:r>
        <w:rPr>
          <w:color w:val="000000"/>
        </w:rPr>
        <w:t>”</w:t>
      </w:r>
      <w:r>
        <w:rPr>
          <w:rFonts w:ascii="Times New Roman;sans-serif" w:hAnsi="Times New Roman;sans-serif"/>
          <w:b w:val="false"/>
          <w:color w:val="000000"/>
          <w:sz w:val="24"/>
        </w:rPr>
        <w:t>) to the Indenture (as defined below), dated as of February 13, 2023, by and among Crestwood Permian Basin Holdings LLC, a Delaware limited liability company (“</w:t>
      </w:r>
      <w:r>
        <w:rPr>
          <w:rFonts w:ascii="Times New Roman;sans-serif" w:hAnsi="Times New Roman;sans-serif"/>
          <w:b/>
          <w:i/>
          <w:color w:val="000000"/>
          <w:sz w:val="24"/>
        </w:rPr>
        <w:t>CPJV</w:t>
      </w:r>
      <w:r>
        <w:rPr>
          <w:color w:val="000000"/>
        </w:rPr>
        <w:t>”</w:t>
      </w:r>
      <w:r>
        <w:rPr>
          <w:rFonts w:ascii="Times New Roman;sans-serif" w:hAnsi="Times New Roman;sans-serif"/>
          <w:b w:val="false"/>
          <w:color w:val="000000"/>
          <w:sz w:val="24"/>
        </w:rPr>
        <w:t>) and indirect wholly owned subsidiary of Crestwood Midstream Partners LP, a Delaware limited partnership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CPB Subsidiary Holdings LLC, a Delaware limited liability company and direct wholly owned subsidiary of CPJV (“</w:t>
      </w:r>
      <w:r>
        <w:rPr>
          <w:rFonts w:ascii="Times New Roman;sans-serif" w:hAnsi="Times New Roman;sans-serif"/>
          <w:b/>
          <w:i/>
          <w:color w:val="000000"/>
          <w:sz w:val="24"/>
        </w:rPr>
        <w:t>CPB Subsidiary</w:t>
      </w:r>
      <w:r>
        <w:rPr>
          <w:color w:val="000000"/>
        </w:rPr>
        <w:t>”</w:t>
      </w:r>
      <w:r>
        <w:rPr>
          <w:rFonts w:ascii="Times New Roman;sans-serif" w:hAnsi="Times New Roman;sans-serif"/>
          <w:b w:val="false"/>
          <w:color w:val="000000"/>
          <w:sz w:val="24"/>
        </w:rPr>
        <w:t>), Crestwood New Mexico Pipeline LLC, a Texas limited liability company and indirect wholly owned subsidiary of CPJV (“</w:t>
      </w:r>
      <w:r>
        <w:rPr>
          <w:rFonts w:ascii="Times New Roman;sans-serif" w:hAnsi="Times New Roman;sans-serif"/>
          <w:b/>
          <w:i/>
          <w:color w:val="000000"/>
          <w:sz w:val="24"/>
        </w:rPr>
        <w:t>Crestwood New Mexico</w:t>
      </w:r>
      <w:r>
        <w:rPr>
          <w:color w:val="000000"/>
        </w:rPr>
        <w:t>”</w:t>
      </w:r>
      <w:r>
        <w:rPr>
          <w:rFonts w:ascii="Times New Roman;sans-serif" w:hAnsi="Times New Roman;sans-serif"/>
          <w:b w:val="false"/>
          <w:color w:val="000000"/>
          <w:sz w:val="24"/>
        </w:rPr>
        <w:t>), CPB Transportation &amp; Marketing LLC, a Delaware limited liability company and indirect wholly owned subsidiary of CPJV (“</w:t>
      </w:r>
      <w:r>
        <w:rPr>
          <w:rFonts w:ascii="Times New Roman;sans-serif" w:hAnsi="Times New Roman;sans-serif"/>
          <w:b/>
          <w:i/>
          <w:color w:val="000000"/>
          <w:sz w:val="24"/>
        </w:rPr>
        <w:t>CPB Trasportation</w:t>
      </w:r>
      <w:r>
        <w:rPr>
          <w:color w:val="000000"/>
        </w:rPr>
        <w:t>”</w:t>
      </w:r>
      <w:r>
        <w:rPr>
          <w:rFonts w:ascii="Times New Roman;sans-serif" w:hAnsi="Times New Roman;sans-serif"/>
          <w:b w:val="false"/>
          <w:color w:val="000000"/>
          <w:sz w:val="24"/>
        </w:rPr>
        <w:t>), CPB Operator LLC, a Delaware limited liability company and indirect wholly owned subsidiary of CPJV (“</w:t>
      </w:r>
      <w:r>
        <w:rPr>
          <w:rFonts w:ascii="Times New Roman;sans-serif" w:hAnsi="Times New Roman;sans-serif"/>
          <w:b/>
          <w:i/>
          <w:color w:val="000000"/>
          <w:sz w:val="24"/>
        </w:rPr>
        <w:t>CPB Operator</w:t>
      </w:r>
      <w:r>
        <w:rPr>
          <w:color w:val="000000"/>
        </w:rPr>
        <w:t>”</w:t>
      </w:r>
      <w:r>
        <w:rPr>
          <w:rFonts w:ascii="Times New Roman;sans-serif" w:hAnsi="Times New Roman;sans-serif"/>
          <w:b w:val="false"/>
          <w:color w:val="000000"/>
          <w:sz w:val="24"/>
        </w:rPr>
        <w:t>), CPB Water LLC, a Delaware limited liability company and indirect wholly owned subsidiary of CPJV (“</w:t>
      </w:r>
      <w:r>
        <w:rPr>
          <w:rFonts w:ascii="Times New Roman;sans-serif" w:hAnsi="Times New Roman;sans-serif"/>
          <w:b/>
          <w:i/>
          <w:color w:val="000000"/>
          <w:sz w:val="24"/>
        </w:rPr>
        <w:t>CPB Water</w:t>
      </w:r>
      <w:r>
        <w:rPr>
          <w:color w:val="000000"/>
        </w:rPr>
        <w:t>”</w:t>
      </w:r>
      <w:r>
        <w:rPr>
          <w:rFonts w:ascii="Times New Roman;sans-serif" w:hAnsi="Times New Roman;sans-serif"/>
          <w:b w:val="false"/>
          <w:color w:val="000000"/>
          <w:sz w:val="24"/>
        </w:rPr>
        <w:t>), CPB Bowser SWD #1 LLC, a Delaware limited liability company and indirect wholly owned subsidiary of CPJV (“</w:t>
      </w:r>
      <w:r>
        <w:rPr>
          <w:rFonts w:ascii="Times New Roman;sans-serif" w:hAnsi="Times New Roman;sans-serif"/>
          <w:b/>
          <w:i/>
          <w:color w:val="000000"/>
          <w:sz w:val="24"/>
        </w:rPr>
        <w:t>CPB Bowser #1</w:t>
      </w:r>
      <w:r>
        <w:rPr>
          <w:rFonts w:ascii="Times New Roman;sans-serif" w:hAnsi="Times New Roman;sans-serif"/>
          <w:b w:val="false"/>
          <w:color w:val="000000"/>
          <w:sz w:val="24"/>
        </w:rPr>
        <w:t>) and CPB Bowser SWD #2 LLC, a Delaware limited liability company and indirect wholly owned subsidiary of CPJV (“</w:t>
      </w:r>
      <w:r>
        <w:rPr>
          <w:rFonts w:ascii="Times New Roman;sans-serif" w:hAnsi="Times New Roman;sans-serif"/>
          <w:b/>
          <w:i/>
          <w:color w:val="000000"/>
          <w:sz w:val="24"/>
        </w:rPr>
        <w:t>CPB Bowser #2</w:t>
      </w:r>
      <w:r>
        <w:rPr>
          <w:color w:val="000000"/>
        </w:rPr>
        <w:t xml:space="preserve">” </w:t>
      </w:r>
      <w:r>
        <w:rPr>
          <w:rFonts w:ascii="Times New Roman;sans-serif" w:hAnsi="Times New Roman;sans-serif"/>
          <w:b w:val="false"/>
          <w:color w:val="000000"/>
          <w:sz w:val="24"/>
        </w:rPr>
        <w:t>and, together with GP Buyer, Sendero LP, Sendero Midstream Holdings, and Sendero Carlsbad Midstream, the “</w:t>
      </w:r>
      <w:r>
        <w:rPr>
          <w:rFonts w:ascii="Times New Roman;sans-serif" w:hAnsi="Times New Roman;sans-serif"/>
          <w:b/>
          <w:i/>
          <w:color w:val="000000"/>
          <w:sz w:val="24"/>
        </w:rPr>
        <w:t>Guaranteeing Subsidiaries</w:t>
      </w:r>
      <w:r>
        <w:rPr>
          <w:color w:val="000000"/>
        </w:rPr>
        <w:t>”</w:t>
      </w:r>
      <w:r>
        <w:rPr>
          <w:rFonts w:ascii="Times New Roman;sans-serif" w:hAnsi="Times New Roman;sans-serif"/>
          <w:b w:val="false"/>
          <w:color w:val="000000"/>
          <w:sz w:val="24"/>
        </w:rPr>
        <w:t>), each a Domestic Subsidiary of the Company and the successor to Oasis Midstream Partners LP (“</w:t>
      </w:r>
      <w:r>
        <w:rPr>
          <w:rFonts w:ascii="Times New Roman;sans-serif" w:hAnsi="Times New Roman;sans-serif"/>
          <w:b/>
          <w:i/>
          <w:color w:val="000000"/>
          <w:sz w:val="24"/>
        </w:rPr>
        <w:t>OMP</w:t>
      </w:r>
      <w:r>
        <w:rPr>
          <w:color w:val="000000"/>
        </w:rPr>
        <w:t>”</w:t>
      </w:r>
      <w:r>
        <w:rPr>
          <w:rFonts w:ascii="Times New Roman;sans-serif" w:hAnsi="Times New Roman;sans-serif"/>
          <w:b w:val="false"/>
          <w:color w:val="000000"/>
          <w:sz w:val="24"/>
        </w:rPr>
        <w:t>), the Company, Crestwood Midstream Finance Corporation, a Delaware corporation and the successor to OMP Finance Corp. (the “</w:t>
      </w:r>
      <w:r>
        <w:rPr>
          <w:rFonts w:ascii="Times New Roman;sans-serif" w:hAnsi="Times New Roman;sans-serif"/>
          <w:b/>
          <w:i/>
          <w:color w:val="000000"/>
          <w:sz w:val="24"/>
        </w:rPr>
        <w:t>Co-Issuer</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i/>
          <w:color w:val="000000"/>
          <w:sz w:val="24"/>
        </w:rPr>
        <w:t>Issuers</w:t>
      </w:r>
      <w:r>
        <w:rPr>
          <w:color w:val="000000"/>
        </w:rPr>
        <w:t>”</w:t>
      </w:r>
      <w:r>
        <w:rPr>
          <w:rFonts w:ascii="Times New Roman;sans-serif" w:hAnsi="Times New Roman;sans-serif"/>
          <w:b w:val="false"/>
          <w:color w:val="000000"/>
          <w:sz w:val="24"/>
        </w:rPr>
        <w:t xml:space="preserve">), each existing Guarantor under the Indenture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collectively, the “</w:t>
      </w:r>
      <w:r>
        <w:rPr>
          <w:rFonts w:ascii="Times New Roman;sans-serif" w:hAnsi="Times New Roman;sans-serif"/>
          <w:b/>
          <w:i/>
          <w:color w:val="000000"/>
          <w:sz w:val="24"/>
        </w:rPr>
        <w:t>Existing Guarantors</w:t>
      </w:r>
      <w:r>
        <w:rPr>
          <w:color w:val="000000"/>
        </w:rPr>
        <w:t>”</w:t>
      </w:r>
      <w:r>
        <w:rPr>
          <w:rFonts w:ascii="Times New Roman;sans-serif" w:hAnsi="Times New Roman;sans-serif"/>
          <w:b w:val="false"/>
          <w:color w:val="000000"/>
          <w:sz w:val="24"/>
        </w:rPr>
        <w:t>) and Regions Bank, as trustee under the Indenture referred to below (the “</w:t>
      </w:r>
      <w:r>
        <w:rPr>
          <w:rFonts w:ascii="Times New Roman;sans-serif" w:hAnsi="Times New Roman;sans-serif"/>
          <w:b/>
          <w:i/>
          <w:color w:val="000000"/>
          <w:sz w:val="24"/>
        </w:rPr>
        <w:t>Trustee</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Issuers and the Existing Guarantors executed and delivered to the Trustee an indenture (as amended and supplemented to the date hereof, the “</w:t>
      </w:r>
      <w:r>
        <w:rPr>
          <w:rFonts w:ascii="Times New Roman;sans-serif" w:hAnsi="Times New Roman;sans-serif"/>
          <w:b/>
          <w:i/>
          <w:color w:val="000000"/>
          <w:sz w:val="24"/>
        </w:rPr>
        <w:t>Indenture</w:t>
      </w:r>
      <w:r>
        <w:rPr>
          <w:color w:val="000000"/>
        </w:rPr>
        <w:t>”</w:t>
      </w:r>
      <w:r>
        <w:rPr>
          <w:rFonts w:ascii="Times New Roman;sans-serif" w:hAnsi="Times New Roman;sans-serif"/>
          <w:b w:val="false"/>
          <w:color w:val="000000"/>
          <w:sz w:val="24"/>
        </w:rPr>
        <w:t>), dated as of March 30, 2021, providing for the issuance of 8.000% Senior Notes due 2029 (the “</w:t>
      </w:r>
      <w:r>
        <w:rPr>
          <w:rFonts w:ascii="Times New Roman;sans-serif" w:hAnsi="Times New Roman;sans-serif"/>
          <w:b/>
          <w:i/>
          <w:color w:val="000000"/>
          <w:sz w:val="24"/>
        </w:rPr>
        <w:t>Notes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on July 11, 2022, pursuant to the consummation of the transactions contemplated under the Contribution Agreement, dated as of May 25, 2022, by and between Crestwood Equity Partners LP, a Delaware limited partnership of which the Company is a direct wholly owned subsidiary (“</w:t>
      </w:r>
      <w:r>
        <w:rPr>
          <w:rFonts w:ascii="Times New Roman;sans-serif" w:hAnsi="Times New Roman;sans-serif"/>
          <w:b/>
          <w:i/>
          <w:color w:val="000000"/>
          <w:sz w:val="24"/>
        </w:rPr>
        <w:t>CEQP</w:t>
      </w:r>
      <w:r>
        <w:rPr>
          <w:color w:val="000000"/>
        </w:rPr>
        <w:t>”</w:t>
      </w:r>
      <w:r>
        <w:rPr>
          <w:rFonts w:ascii="Times New Roman;sans-serif" w:hAnsi="Times New Roman;sans-serif"/>
          <w:b w:val="false"/>
          <w:color w:val="000000"/>
          <w:sz w:val="24"/>
        </w:rPr>
        <w:t>), and FR XIII Crestwood Permian Basin Holdings LLC, a Delaware limited liability company (“</w:t>
      </w:r>
      <w:r>
        <w:rPr>
          <w:rFonts w:ascii="Times New Roman;sans-serif" w:hAnsi="Times New Roman;sans-serif"/>
          <w:b/>
          <w:i/>
          <w:color w:val="000000"/>
          <w:sz w:val="24"/>
        </w:rPr>
        <w:t>FR XIII Crestwood</w:t>
      </w:r>
      <w:r>
        <w:rPr>
          <w:color w:val="000000"/>
        </w:rPr>
        <w:t>”</w:t>
      </w:r>
      <w:r>
        <w:rPr>
          <w:rFonts w:ascii="Times New Roman;sans-serif" w:hAnsi="Times New Roman;sans-serif"/>
          <w:b w:val="false"/>
          <w:color w:val="000000"/>
          <w:sz w:val="24"/>
        </w:rPr>
        <w:t>), FR XIII Crestwood contributed to CEQP 50% of the issued and outstanding membership interests in CPJV, CPJV became a wholly owned subsidiary of CEQP and CEQP was admitted as the sole member of CPJV;</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January 25, 2023, the Amended and Restated Credit Agreement, dated as of June 25, 2021, by and among CPB Subsidiary, CPJV, Wells Fargo Bank, National Association, the institutions set forth on Schedule 1 thereto and the other lenders party thereto, as amended by that certain First Amendment thereto, dated as of April 13, 2022, and as further amended, modified and supplemented from time to time, was repaid in full and terminated, following which each of the New Guarantors will become guarantors under that certain Third Amended and Restated Credit Agreement, dated as of December 20, 2021, by and among the Company, the lenders party thereto in their capacities as lenders thereunder, Wells Fargo Bank, National Association, as administrative agent and collateral agent, and the other parties thereto, as amended by that certain First Amendment thereto, dated as of October 14, 2022;</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4.15 of the Indenture provides that if, after the Issue Date, any Restricted Subsidiary of the Company (including any Subsidiary acquired or created after the Issue Date), as successor to OMP, that is not already a Guarantor, (1) guarantees any Indebtedness of an issuer of the Notes or any Guarantor or (2) is a Domestic Subsidiary and is an obligor with respect to any Indebtedness under any Debt Facility, then, in either case, that Restricted Subsidiary will become a Guarantor by executing a supplemental indenture in substantially the form of Exhibit E to the Indenture and delivering an Officer’s Certificate and an Opinion of Counsel satisfactory to the Trustee, in each case within 30 Business Days after the date that Subsidiary guaranteed or became obligated with respect to such Indebtedness;</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10.03 of the Indenture provides that, in the event the Issuers or any of their Restricted Subsidiaries creates or acquires any Subsidiary after the Issue Date, if required by Section 4.15 of the Indenture, the Issuers will cause such Subsidiary to comply with the provisions of Section 4.15 and Article 10 of the Indenture, to the extent applicable;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9.01 of the Indenture permits, without the consent of any Holder of the Notes, the Issuers, the Guarantors and the Trustee to amend or supplement the Indenture, the Notes or the Note Guarantees to add any additional Guarantor;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Section 9.01 of the Indenture provides that, upon the request of the Issuers authorizing the execution of any amended or supplemental indenture in accordance with Section 9.01 of the Indenture, and upon receipt by the Trustee of the documents described in Section 7.02 of the Indenture, subject to Section 9.05, the Trustee will join with the Issuers and the Guarantors in the execution of any amended or supplemental indenture authorized or permitted by the terms of the Indenture and to make any further appropriate agreements and stipulations that may be therein contained.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of which is hereby acknowledged, the Company, the Co-Issuer, each entity qualifying as a Guarantor immediately prior to the execution of this Supplemental Indenture, each Guaranteeing Subsidiary and the Trustee mutually covenant and agree for the equal and ratable benefit of the Holders of the Notes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CAPITALIZED TERMS. Capitalized terms used herein without definition shall have the meanings assigned to them in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AGREEMENT TO GUARANTEE. Subject to Article 10 of the Indenture, each Guaranteeing Subsidiary, jointly and severally with the other Guarantors, unconditionally guarantees to each Holder of a Note authenticated and delivered by the Trustee and to the Trustee and its successors and assigns, that: (a) the principal of, premium on, if any, and interest, if any, on, the Notes will be promptly paid in full when due, whether at maturity, by acceleration, redemption or otherwise, and interest on the overdue principal of, premium on, if any, and interest, if any, on, the Notes, if lawful, and all other obligations of the Issuers to the Holders or the Trustee under the Indenture or the Notes will be promptly paid in full or performed, all in accordance with the terms of the Indenture and the Notes; and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 xml:space="preserve">NO RECOURSE AGAINST OTHERS. No director, officer, employee, incorporator or stockholder of any of the Issuers or any Guarantor, as such, will have any liability for any obligations of the Issuers or the Guarantors under the Notes, the Indenture, or the Note Guarantees or for any claim based on, in respect of, or by reason of, such obligations or </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0520"/>
                <wp:effectExtent l="0" t="0" r="0" b="0"/>
                <wp:wrapNone/>
                <wp:docPr id="82" name="Frame8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their creation. Each Holder of Notes by accepting a Note waives and releases all such liability. The waiver and release are part of the consideration for issuance of the Notes.</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COUNTERPARTS. The parties may sign any number of copies of this Supplemental Indenture. Each signed copy shall be an original, but all of them together represent the same agreement. The words “execution,” “signed,” “signature,” “delivery,” and words of like import in or relating to this Supplemental Indenture or any document to be signed in connection with this Supplemental Indenture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EFFECT OF HEADINGS. The Section headings herein are for convenience only and shall not affect the construction hereof.</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THE TRUSTEE. The Trustee shall not be responsible in any manner whatsoever for or in respect of the validity or sufficiency of this Supplemental Indenture or for or in respect of the recitals contained herein, all of which recitals are made solely by each Guaranteeing Subsidiary and the Company.</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left intentionally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0520"/>
                <wp:effectExtent l="0" t="0" r="0" b="0"/>
                <wp:wrapNone/>
                <wp:docPr id="83" name="Frame8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to be duly executed and attested, all as of the date first above written.</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PARTNERS LP</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CRESTWOOD MIDSTREAM FINANCE CORP.</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350520"/>
                <wp:effectExtent l="0" t="0" r="0" b="0"/>
                <wp:wrapNone/>
                <wp:docPr id="84" name="Frame8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MIDSTREAM HOLDINGS,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MANAGER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APPALACHIA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ENERGY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OPERATING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MIDSTREAM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SENDERO GP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FIELD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Arrow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350520"/>
                <wp:effectExtent l="0" t="0" r="0" b="0"/>
                <wp:wrapNone/>
                <wp:docPr id="85" name="Frame8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ARKANSAS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PANHANDLE PIPELINE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LOGISTICS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FINGER LAKES LPG STORAGE,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TERMINALS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DAKOTA PIPELINES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Crude Logistics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350520"/>
                <wp:effectExtent l="0" t="0" r="0" b="0"/>
                <wp:wrapNone/>
                <wp:docPr id="86" name="Frame8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MIDSTREAM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 MARCELLUS ASSET COMPANY,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Midstream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SALES &amp; SERVICE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Shareholder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STELLAR PROPANE SERVICE,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350520"/>
                <wp:effectExtent l="0" t="0" r="0" b="0"/>
                <wp:wrapNone/>
                <wp:docPr id="87" name="Frame8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BEARTOOTH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BIGHORN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BOBCAT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PANTHER DEVCO LLC</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Rough Rider Operating LLC, its Managing Member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350520"/>
                <wp:effectExtent l="0" t="0" r="0" b="0"/>
                <wp:wrapNone/>
                <wp:docPr id="88" name="Frame8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PARTNERS,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HOLDINGS,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MIDSTREAM,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FINANCE,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350520"/>
                <wp:effectExtent l="0" t="0" r="0" b="0"/>
                <wp:wrapNone/>
                <wp:docPr id="89" name="Frame8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PERMIAN BASIN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SUBSIDIARY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NEW MEXICO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TRANSPORTATION &amp; MARKETING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WATER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#1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#2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Water LLC,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By: CPB Subsidiary Holdings LLC, its sole member </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350520"/>
                <wp:effectExtent l="0" t="0" r="0" b="0"/>
                <wp:wrapNone/>
                <wp:docPr id="90" name="Frame9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before="0" w:after="0"/>
        <w:rPr/>
      </w:pPr>
      <w:r>
        <w:rPr/>
      </w:r>
    </w:p>
    <w:p>
      <w:pPr>
        <w:pStyle w:val="TextBody"/>
        <w:spacing w:lineRule="auto" w:line="240" w:before="0" w:after="240"/>
        <w:rPr/>
      </w:pPr>
      <w:r>
        <w:rPr>
          <w:rFonts w:ascii="Times New Roman;sans-serif" w:hAnsi="Times New Roman;sans-serif"/>
          <w:b/>
          <w:color w:val="000000"/>
          <w:sz w:val="24"/>
        </w:rPr>
        <w:t>REGIONS BANK</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t>as Trustee</w:t>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Doug Milner    </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Name:    Doug Milner</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Senior Vice President</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350520"/>
                <wp:effectExtent l="0" t="0" r="0" b="0"/>
                <wp:wrapNone/>
                <wp:docPr id="91" name="Frame9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OMP 2029 Supplemental Indenture</w:t>
                      </w:r>
                    </w:p>
                    <w:p>
                      <w:pPr>
                        <w:pStyle w:val="TextBody"/>
                        <w:spacing w:before="0" w:after="240"/>
                        <w:jc w:val="both"/>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ARROW FIELD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ARROW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ARROW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ARROW WATER,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ARROW WATER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BEARTOOTH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BIGHORN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BOBCAT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CMLP TRES MANAGER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CMLP TRES OPERATOR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CRESTWOOD APPALACHIA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CRESTWOOD ARKANSAS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CRESTWOOD CRUDE LOGISTICS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CRESTWOOD CRUDE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CRESTWOOD CRUDE TERMINALS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    CRESTWOOD CRUDE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CRESTWOOD DAKOTA PIPELINES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CRESTWOOD ENERGY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19.    CRESTWOOD MARCELLUS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20.    CRESTWOOD MARCELLUS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    CRESTWOOD MIDSTREAM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22.    CRESTWOOD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    CRESTWOOD PANHANDLE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    CRESTWOOD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    CRESTWOOD SALES &amp; SERVICES INC.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26.    CRESTWOOD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    CRESTWOOD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28.    E. MARCELLUS ASSET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29.    FINGER LAKES LPG STORAGE,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    STELLAR PROPANE SERVICE,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31.    PANTHER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32.    ROUGH RIDER MIDSTREAM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    ROUGH RIDER OPERATING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34.    CRESTWOOD SENDERO GP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35.    SENDERO MIDSTREAM PARTNERS, LP</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36.    SENDERO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37.    SENDERO CARLSBAD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38.    SENDERO CARLSBAD FINANCE, LLC</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40" w:before="0" w:after="240"/>
        <w:jc w:val="right"/>
        <w:rPr>
          <w:rFonts w:ascii="Times New Roman;sans-serif" w:hAnsi="Times New Roman;sans-serif"/>
          <w:b/>
          <w:color w:val="000000"/>
          <w:sz w:val="24"/>
        </w:rPr>
      </w:pPr>
      <w:r>
        <w:rPr>
          <w:rFonts w:ascii="Times New Roman;sans-serif" w:hAnsi="Times New Roman;sans-serif"/>
          <w:b/>
          <w:color w:val="000000"/>
          <w:sz w:val="24"/>
        </w:rPr>
        <w:t>E</w:t>
      </w:r>
      <w:r>
        <w:rPr>
          <w:rFonts w:ascii="Times New Roman;sans-serif" w:hAnsi="Times New Roman;sans-serif"/>
          <w:b/>
          <w:color w:val="000000"/>
          <w:sz w:val="24"/>
        </w:rPr>
        <w:t>xhibit 4.7</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350520"/>
                <wp:effectExtent l="0" t="0" r="0" b="0"/>
                <wp:wrapNone/>
                <wp:docPr id="92" name="Frame9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26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v:textbox>
              </v:rect>
            </w:pict>
          </mc:Fallback>
        </mc:AlternateContent>
      </w:r>
    </w:p>
    <w:p>
      <w:pPr>
        <w:pStyle w:val="TextBody"/>
        <w:spacing w:lineRule="auto" w:line="240" w:before="0" w:after="2"/>
        <w:jc w:val="right"/>
        <w:rPr>
          <w:rFonts w:ascii="Times New Roman;sans-serif" w:hAnsi="Times New Roman;sans-serif"/>
          <w:b/>
          <w:i/>
          <w:color w:val="000000"/>
          <w:sz w:val="24"/>
        </w:rPr>
      </w:pPr>
      <w:r>
        <w:rPr>
          <w:rFonts w:ascii="Times New Roman;sans-serif" w:hAnsi="Times New Roman;sans-serif"/>
          <w:b/>
          <w:i/>
          <w:color w:val="000000"/>
          <w:sz w:val="24"/>
        </w:rPr>
        <w:t>Execution Version</w:t>
      </w:r>
    </w:p>
    <w:p>
      <w:pPr>
        <w:pStyle w:val="TextBody"/>
        <w:spacing w:before="0" w:after="240"/>
        <w:jc w:val="center"/>
        <w:rPr/>
      </w:pPr>
      <w:r>
        <w:rPr/>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SUPPLEMENTAL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SUPPLEMENTAL INDENTURE (this “</w:t>
      </w:r>
      <w:r>
        <w:rPr>
          <w:rFonts w:ascii="Times New Roman;sans-serif" w:hAnsi="Times New Roman;sans-serif"/>
          <w:b/>
          <w:i/>
          <w:color w:val="000000"/>
          <w:sz w:val="24"/>
        </w:rPr>
        <w:t>Supplemental Indenture</w:t>
      </w:r>
      <w:r>
        <w:rPr>
          <w:color w:val="000000"/>
        </w:rPr>
        <w:t>”</w:t>
      </w:r>
      <w:r>
        <w:rPr>
          <w:rFonts w:ascii="Times New Roman;sans-serif" w:hAnsi="Times New Roman;sans-serif"/>
          <w:b w:val="false"/>
          <w:color w:val="000000"/>
          <w:sz w:val="24"/>
        </w:rPr>
        <w:t>) to the Indenture (as defined below), dated as of February 13, 2023, by and among Crestwood Permian Basin Holdings LLC, a Delaware limited liability company (“</w:t>
      </w:r>
      <w:r>
        <w:rPr>
          <w:rFonts w:ascii="Times New Roman;sans-serif" w:hAnsi="Times New Roman;sans-serif"/>
          <w:b/>
          <w:i/>
          <w:color w:val="000000"/>
          <w:sz w:val="24"/>
        </w:rPr>
        <w:t>CPJV</w:t>
      </w:r>
      <w:r>
        <w:rPr>
          <w:color w:val="000000"/>
        </w:rPr>
        <w:t>”</w:t>
      </w:r>
      <w:r>
        <w:rPr>
          <w:rFonts w:ascii="Times New Roman;sans-serif" w:hAnsi="Times New Roman;sans-serif"/>
          <w:b w:val="false"/>
          <w:color w:val="000000"/>
          <w:sz w:val="24"/>
        </w:rPr>
        <w:t>) and indirect wholly owned subsidiary of Crestwood Midstream Partners LP, a Delaware limited partnership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CPB Subsidiary Holdings LLC, a Delaware limited liability company and direct wholly owned subsidiary of CPJV (“</w:t>
      </w:r>
      <w:r>
        <w:rPr>
          <w:rFonts w:ascii="Times New Roman;sans-serif" w:hAnsi="Times New Roman;sans-serif"/>
          <w:b/>
          <w:i/>
          <w:color w:val="000000"/>
          <w:sz w:val="24"/>
        </w:rPr>
        <w:t>CPB Subsidiary</w:t>
      </w:r>
      <w:r>
        <w:rPr>
          <w:color w:val="000000"/>
        </w:rPr>
        <w:t>”</w:t>
      </w:r>
      <w:r>
        <w:rPr>
          <w:rFonts w:ascii="Times New Roman;sans-serif" w:hAnsi="Times New Roman;sans-serif"/>
          <w:b w:val="false"/>
          <w:color w:val="000000"/>
          <w:sz w:val="24"/>
        </w:rPr>
        <w:t>), Crestwood New Mexico Pipeline LLC, a Texas limited liability company and indirect wholly owned subsidiary of CPJV (“</w:t>
      </w:r>
      <w:r>
        <w:rPr>
          <w:rFonts w:ascii="Times New Roman;sans-serif" w:hAnsi="Times New Roman;sans-serif"/>
          <w:b/>
          <w:i/>
          <w:color w:val="000000"/>
          <w:sz w:val="24"/>
        </w:rPr>
        <w:t>Crestwood New Mexico</w:t>
      </w:r>
      <w:r>
        <w:rPr>
          <w:color w:val="000000"/>
        </w:rPr>
        <w:t>”</w:t>
      </w:r>
      <w:r>
        <w:rPr>
          <w:rFonts w:ascii="Times New Roman;sans-serif" w:hAnsi="Times New Roman;sans-serif"/>
          <w:b w:val="false"/>
          <w:color w:val="000000"/>
          <w:sz w:val="24"/>
        </w:rPr>
        <w:t>), CPB Transportation &amp; Marketing LLC, a Delaware limited liability company and indirect wholly owned subsidiary of CPJV (“</w:t>
      </w:r>
      <w:r>
        <w:rPr>
          <w:rFonts w:ascii="Times New Roman;sans-serif" w:hAnsi="Times New Roman;sans-serif"/>
          <w:b/>
          <w:i/>
          <w:color w:val="000000"/>
          <w:sz w:val="24"/>
        </w:rPr>
        <w:t>CPB Transportation</w:t>
      </w:r>
      <w:r>
        <w:rPr>
          <w:color w:val="000000"/>
        </w:rPr>
        <w:t>”</w:t>
      </w:r>
      <w:r>
        <w:rPr>
          <w:rFonts w:ascii="Times New Roman;sans-serif" w:hAnsi="Times New Roman;sans-serif"/>
          <w:b w:val="false"/>
          <w:color w:val="000000"/>
          <w:sz w:val="24"/>
        </w:rPr>
        <w:t>), CPB Operator LLC, a Delaware limited liability company and indirect wholly owned subsidiary of CPJV (“</w:t>
      </w:r>
      <w:r>
        <w:rPr>
          <w:rFonts w:ascii="Times New Roman;sans-serif" w:hAnsi="Times New Roman;sans-serif"/>
          <w:b/>
          <w:i/>
          <w:color w:val="000000"/>
          <w:sz w:val="24"/>
        </w:rPr>
        <w:t>CPB Operator</w:t>
      </w:r>
      <w:r>
        <w:rPr>
          <w:color w:val="000000"/>
        </w:rPr>
        <w:t>”</w:t>
      </w:r>
      <w:r>
        <w:rPr>
          <w:rFonts w:ascii="Times New Roman;sans-serif" w:hAnsi="Times New Roman;sans-serif"/>
          <w:b w:val="false"/>
          <w:color w:val="000000"/>
          <w:sz w:val="24"/>
        </w:rPr>
        <w:t>), CPB Water LLC, a Delaware limited liability company and indirect wholly owned subsidiary of CPJV (“</w:t>
      </w:r>
      <w:r>
        <w:rPr>
          <w:rFonts w:ascii="Times New Roman;sans-serif" w:hAnsi="Times New Roman;sans-serif"/>
          <w:b/>
          <w:i/>
          <w:color w:val="000000"/>
          <w:sz w:val="24"/>
        </w:rPr>
        <w:t>CPB Water</w:t>
      </w:r>
      <w:r>
        <w:rPr>
          <w:color w:val="000000"/>
        </w:rPr>
        <w:t>”</w:t>
      </w:r>
      <w:r>
        <w:rPr>
          <w:rFonts w:ascii="Times New Roman;sans-serif" w:hAnsi="Times New Roman;sans-serif"/>
          <w:b w:val="false"/>
          <w:color w:val="000000"/>
          <w:sz w:val="24"/>
        </w:rPr>
        <w:t>), CPB Bowser SWD #1 LLC, a Delaware limited liability company and indirect wholly owned subsidiary of CPJV (“</w:t>
      </w:r>
      <w:r>
        <w:rPr>
          <w:rFonts w:ascii="Times New Roman;sans-serif" w:hAnsi="Times New Roman;sans-serif"/>
          <w:b/>
          <w:i/>
          <w:color w:val="000000"/>
          <w:sz w:val="24"/>
        </w:rPr>
        <w:t>CPB Bowser #1</w:t>
      </w:r>
      <w:r>
        <w:rPr>
          <w:rFonts w:ascii="Times New Roman;sans-serif" w:hAnsi="Times New Roman;sans-serif"/>
          <w:b w:val="false"/>
          <w:color w:val="000000"/>
          <w:sz w:val="24"/>
        </w:rPr>
        <w:t>) and CPB Bowser SWD #2 LLC, a Delaware limited liability company and indirect wholly owned subsidiary of CPJV (“</w:t>
      </w:r>
      <w:r>
        <w:rPr>
          <w:rFonts w:ascii="Times New Roman;sans-serif" w:hAnsi="Times New Roman;sans-serif"/>
          <w:b/>
          <w:i/>
          <w:color w:val="000000"/>
          <w:sz w:val="24"/>
        </w:rPr>
        <w:t>CPB Bowser #2</w:t>
      </w:r>
      <w:r>
        <w:rPr>
          <w:color w:val="000000"/>
        </w:rPr>
        <w:t xml:space="preserve">” </w:t>
      </w:r>
      <w:r>
        <w:rPr>
          <w:rFonts w:ascii="Times New Roman;sans-serif" w:hAnsi="Times New Roman;sans-serif"/>
          <w:b w:val="false"/>
          <w:color w:val="000000"/>
          <w:sz w:val="24"/>
        </w:rPr>
        <w:t>and, together with CPJV, CPB Subsidiary, Crestwood New Mexico, CPB Transportation, CPB Operator, CPB Water, and CPB Bowser #1, the “</w:t>
      </w:r>
      <w:r>
        <w:rPr>
          <w:rFonts w:ascii="Times New Roman;sans-serif" w:hAnsi="Times New Roman;sans-serif"/>
          <w:b/>
          <w:i/>
          <w:color w:val="000000"/>
          <w:sz w:val="24"/>
        </w:rPr>
        <w:t>New Guarantors</w:t>
      </w:r>
      <w:r>
        <w:rPr>
          <w:color w:val="000000"/>
        </w:rPr>
        <w:t>”</w:t>
      </w:r>
      <w:r>
        <w:rPr>
          <w:rFonts w:ascii="Times New Roman;sans-serif" w:hAnsi="Times New Roman;sans-serif"/>
          <w:b w:val="false"/>
          <w:color w:val="000000"/>
          <w:sz w:val="24"/>
        </w:rPr>
        <w:t>), each a Domestic Subsidiary of the Company, the Company, Crestwood Midstream Finance Corporation, a Delaware corporation (the “</w:t>
      </w:r>
      <w:r>
        <w:rPr>
          <w:rFonts w:ascii="Times New Roman;sans-serif" w:hAnsi="Times New Roman;sans-serif"/>
          <w:b/>
          <w:i/>
          <w:color w:val="000000"/>
          <w:sz w:val="24"/>
        </w:rPr>
        <w:t>Co-Issuer</w:t>
      </w:r>
      <w:r>
        <w:rPr>
          <w:color w:val="000000"/>
        </w:rPr>
        <w:t xml:space="preserve">” </w:t>
      </w:r>
      <w:r>
        <w:rPr>
          <w:rFonts w:ascii="Times New Roman;sans-serif" w:hAnsi="Times New Roman;sans-serif"/>
          <w:b w:val="false"/>
          <w:color w:val="000000"/>
          <w:sz w:val="24"/>
        </w:rPr>
        <w:t>and, together, with the Company, the “</w:t>
      </w:r>
      <w:r>
        <w:rPr>
          <w:rFonts w:ascii="Times New Roman;sans-serif" w:hAnsi="Times New Roman;sans-serif"/>
          <w:b/>
          <w:i/>
          <w:color w:val="000000"/>
          <w:sz w:val="24"/>
        </w:rPr>
        <w:t>Issuers</w:t>
      </w:r>
      <w:r>
        <w:rPr>
          <w:color w:val="000000"/>
        </w:rPr>
        <w:t>”</w:t>
      </w:r>
      <w:r>
        <w:rPr>
          <w:rFonts w:ascii="Times New Roman;sans-serif" w:hAnsi="Times New Roman;sans-serif"/>
          <w:b w:val="false"/>
          <w:color w:val="000000"/>
          <w:sz w:val="24"/>
        </w:rPr>
        <w:t xml:space="preserve">), each existing Guarantor under the Indenture (as set forth on </w:t>
      </w:r>
      <w:r>
        <w:rPr>
          <w:rFonts w:ascii="Times New Roman;sans-serif" w:hAnsi="Times New Roman;sans-serif"/>
          <w:b w:val="false"/>
          <w:color w:val="000000"/>
          <w:sz w:val="24"/>
          <w:u w:val="single"/>
        </w:rPr>
        <w:t>Schedule A</w:t>
      </w:r>
      <w:r>
        <w:rPr>
          <w:color w:val="000000"/>
        </w:rPr>
        <w:t xml:space="preserve"> </w:t>
      </w:r>
      <w:r>
        <w:rPr>
          <w:rFonts w:ascii="Times New Roman;sans-serif" w:hAnsi="Times New Roman;sans-serif"/>
          <w:b w:val="false"/>
          <w:color w:val="000000"/>
          <w:sz w:val="24"/>
        </w:rPr>
        <w:t>attached hereto, collectively, the “</w:t>
      </w:r>
      <w:r>
        <w:rPr>
          <w:rFonts w:ascii="Times New Roman;sans-serif" w:hAnsi="Times New Roman;sans-serif"/>
          <w:b/>
          <w:i/>
          <w:color w:val="000000"/>
          <w:sz w:val="24"/>
        </w:rPr>
        <w:t>Existing Guarantors</w:t>
      </w:r>
      <w:r>
        <w:rPr>
          <w:color w:val="000000"/>
        </w:rPr>
        <w:t>”</w:t>
      </w:r>
      <w:r>
        <w:rPr>
          <w:rFonts w:ascii="Times New Roman;sans-serif" w:hAnsi="Times New Roman;sans-serif"/>
          <w:b w:val="false"/>
          <w:color w:val="000000"/>
          <w:sz w:val="24"/>
        </w:rPr>
        <w:t>) and U.S. Bank Trust Company, National Association, as trustee under the Indenture referred to below (the “</w:t>
      </w:r>
      <w:r>
        <w:rPr>
          <w:rFonts w:ascii="Times New Roman;sans-serif" w:hAnsi="Times New Roman;sans-serif"/>
          <w:b/>
          <w:i/>
          <w:color w:val="000000"/>
          <w:sz w:val="24"/>
        </w:rPr>
        <w:t>Trustee</w:t>
      </w:r>
      <w:r>
        <w:rPr>
          <w:color w:val="000000"/>
        </w:rPr>
        <w:t>”</w:t>
      </w:r>
      <w:r>
        <w:rPr>
          <w:rFonts w:ascii="Times New Roman;sans-serif" w:hAnsi="Times New Roman;sans-serif"/>
          <w:b w:val="false"/>
          <w:color w:val="000000"/>
          <w:sz w:val="24"/>
        </w:rPr>
        <w:t>).</w:t>
      </w:r>
    </w:p>
    <w:p>
      <w:pPr>
        <w:pStyle w:val="TextBody"/>
        <w:spacing w:lineRule="auto" w:line="240" w:before="0" w:after="240"/>
        <w:jc w:val="center"/>
        <w:rPr>
          <w:rFonts w:ascii="Times New Roman;sans-serif" w:hAnsi="Times New Roman;sans-serif"/>
          <w:b w:val="false"/>
          <w:color w:val="000000"/>
          <w:sz w:val="24"/>
        </w:rPr>
      </w:pPr>
      <w:r>
        <w:rPr>
          <w:rFonts w:ascii="Times New Roman;sans-serif" w:hAnsi="Times New Roman;sans-serif"/>
          <w:b w:val="false"/>
          <w:color w:val="000000"/>
          <w:sz w:val="24"/>
        </w:rPr>
        <w:t>W I T N E S S E T H</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the Issuers and the Existing Guarantors have heretofore executed and delivered to the Trustee an indenture (as amended and supplemented to the date hereof, the “</w:t>
      </w:r>
      <w:r>
        <w:rPr>
          <w:rFonts w:ascii="Times New Roman;sans-serif" w:hAnsi="Times New Roman;sans-serif"/>
          <w:b/>
          <w:i/>
          <w:color w:val="000000"/>
          <w:sz w:val="24"/>
        </w:rPr>
        <w:t>Indenture</w:t>
      </w:r>
      <w:r>
        <w:rPr>
          <w:color w:val="000000"/>
        </w:rPr>
        <w:t>”</w:t>
      </w:r>
      <w:r>
        <w:rPr>
          <w:rFonts w:ascii="Times New Roman;sans-serif" w:hAnsi="Times New Roman;sans-serif"/>
          <w:b w:val="false"/>
          <w:color w:val="000000"/>
          <w:sz w:val="24"/>
        </w:rPr>
        <w:t>), dated as of January 19, 2023, providing for the issuance of the Issuers’ 7.375% Senior Notes due 2031 (the “</w:t>
      </w:r>
      <w:r>
        <w:rPr>
          <w:rFonts w:ascii="Times New Roman;sans-serif" w:hAnsi="Times New Roman;sans-serif"/>
          <w:b/>
          <w:i/>
          <w:color w:val="000000"/>
          <w:sz w:val="24"/>
        </w:rPr>
        <w:t>Notes</w:t>
      </w:r>
      <w:r>
        <w:rPr>
          <w:color w:val="000000"/>
        </w:rPr>
        <w:t>”</w:t>
      </w:r>
      <w:r>
        <w:rPr>
          <w:rFonts w:ascii="Times New Roman;sans-serif" w:hAnsi="Times New Roman;sans-serif"/>
          <w:b w:val="false"/>
          <w:color w:val="000000"/>
          <w:sz w:val="24"/>
        </w:rPr>
        <w:t>);</w:t>
      </w:r>
    </w:p>
    <w:p>
      <w:pPr>
        <w:pStyle w:val="TextBody"/>
        <w:spacing w:lineRule="auto" w:line="240" w:before="0" w:after="240"/>
        <w:ind w:left="0" w:right="0" w:firstLine="720"/>
        <w:jc w:val="both"/>
        <w:rPr/>
      </w:pPr>
      <w:r>
        <w:rPr>
          <w:rFonts w:ascii="Times New Roman;sans-serif" w:hAnsi="Times New Roman;sans-serif"/>
          <w:b w:val="false"/>
          <w:color w:val="000000"/>
          <w:sz w:val="24"/>
        </w:rPr>
        <w:t>WHEREAS, on July 11, 2022, pursuant to the consummation of the transactions contemplated under the Contribution Agreement, dated as of May 25, 2022, by and between Crestwood Equity Partners LP, a Delaware limited partnership of which the Company is a direct wholly owned subsidiary (“</w:t>
      </w:r>
      <w:r>
        <w:rPr>
          <w:rFonts w:ascii="Times New Roman;sans-serif" w:hAnsi="Times New Roman;sans-serif"/>
          <w:b/>
          <w:i/>
          <w:color w:val="000000"/>
          <w:sz w:val="24"/>
        </w:rPr>
        <w:t>CEQP</w:t>
      </w:r>
      <w:r>
        <w:rPr>
          <w:color w:val="000000"/>
        </w:rPr>
        <w:t>”</w:t>
      </w:r>
      <w:r>
        <w:rPr>
          <w:rFonts w:ascii="Times New Roman;sans-serif" w:hAnsi="Times New Roman;sans-serif"/>
          <w:b w:val="false"/>
          <w:color w:val="000000"/>
          <w:sz w:val="24"/>
        </w:rPr>
        <w:t>), and FR XIII Crestwood Permian Basin Holdings LLC, a Delaware limited liability company (“</w:t>
      </w:r>
      <w:r>
        <w:rPr>
          <w:rFonts w:ascii="Times New Roman;sans-serif" w:hAnsi="Times New Roman;sans-serif"/>
          <w:b/>
          <w:i/>
          <w:color w:val="000000"/>
          <w:sz w:val="24"/>
        </w:rPr>
        <w:t>FR XIII Crestwood</w:t>
      </w:r>
      <w:r>
        <w:rPr>
          <w:color w:val="000000"/>
        </w:rPr>
        <w:t>”</w:t>
      </w:r>
      <w:r>
        <w:rPr>
          <w:rFonts w:ascii="Times New Roman;sans-serif" w:hAnsi="Times New Roman;sans-serif"/>
          <w:b w:val="false"/>
          <w:color w:val="000000"/>
          <w:sz w:val="24"/>
        </w:rPr>
        <w:t>), FR XIII Crestwood contributed to CEQP 50% of the issued and outstanding membership interests in CPJV, CPJV became a wholly owned subsidiary of CEQP and CEQP was admitted as the sole member of CPJV;</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on January 25, 2023, the Amended and Restated Credit Agreement, dated as of June 25, 2021, by and among CPB Subsidiary, CPJV, Wells Fargo Bank, National Association, the institutions set forth on Schedule 1 thereto and the other lenders party thereto, as amended by that certain First Amendment thereto, dated as of April 13, 2022, and as further amended, modified and supplemented from time to time, was repaid in full and terminated, following which each of the New Guarantors will become guarantors under that certain Third Amended and Restated Credit Agreement, dated as of December 20, 2021, among the Company, the lenders party thereto in their capacities as lenders thereunder, Wells Fargo Bank, National Association, as administrative agent and collateral agent, and the other parties thereto, as amended by that certain First Amendment thereto, dated as of October 14, 2022;</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WHEREAS, Section 4.15 of the Indenture provides that under the circumstances set forth therein, the New Guarantors shall execute and deliver to the Trustee a supplemental indenture </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9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jc w:val="both"/>
                        <w:rPr/>
                      </w:pPr>
                      <w:r>
                        <w:rPr/>
                      </w:r>
                    </w:p>
                  </w:txbxContent>
                </v:textbox>
              </v:rect>
            </w:pict>
          </mc:Fallback>
        </mc:AlternateContent>
      </w:r>
    </w:p>
    <w:p>
      <w:pPr>
        <w:pStyle w:val="TextBody"/>
        <w:spacing w:lineRule="auto" w:line="240" w:before="0" w:after="240"/>
        <w:jc w:val="both"/>
        <w:rPr/>
      </w:pPr>
      <w:r>
        <w:rPr>
          <w:rFonts w:ascii="Times New Roman;sans-serif" w:hAnsi="Times New Roman;sans-serif"/>
          <w:b w:val="false"/>
          <w:color w:val="000000"/>
          <w:sz w:val="24"/>
        </w:rPr>
        <w:t>pursuant to which the New Guarantors shall unconditionally guarantee all of the Issuers’ Obligations under the Indenture and the Notes on the terms and conditions set forth herein (the “</w:t>
      </w:r>
      <w:r>
        <w:rPr>
          <w:rFonts w:ascii="Times New Roman;sans-serif" w:hAnsi="Times New Roman;sans-serif"/>
          <w:b/>
          <w:i/>
          <w:color w:val="000000"/>
          <w:sz w:val="24"/>
        </w:rPr>
        <w:t>Note Guarantee</w:t>
      </w:r>
      <w:r>
        <w:rPr>
          <w:color w:val="000000"/>
        </w:rPr>
        <w:t>”</w:t>
      </w:r>
      <w:r>
        <w:rPr>
          <w:rFonts w:ascii="Times New Roman;sans-serif" w:hAnsi="Times New Roman;sans-serif"/>
          <w:b w:val="false"/>
          <w:color w:val="000000"/>
          <w:sz w:val="24"/>
        </w:rPr>
        <w:t>); and</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WHEREAS, pursuant to Section 9.01 of the Indenture, the Trustee, the Issuers and the Existing Guarantors are authorized to execute and deliver this Supplemental Indenture.</w: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NOW, THEREFORE, in consideration of the foregoing and for other good and valuable consideration, the receipt of which is hereby acknowledged, the New Guarantors, the Issuers, the Existing Guarantors and the Trustee mutually covenant and agree for the equal and ratable benefit of the Holders as follows:</w:t>
      </w:r>
    </w:p>
    <w:p>
      <w:pPr>
        <w:pStyle w:val="TextBody"/>
        <w:spacing w:lineRule="auto" w:line="240" w:before="0" w:after="240"/>
        <w:ind w:left="0" w:right="0" w:firstLine="720"/>
        <w:jc w:val="both"/>
        <w:rPr/>
      </w:pPr>
      <w:r>
        <w:rPr>
          <w:rFonts w:ascii="Times New Roman;sans-serif" w:hAnsi="Times New Roman;sans-serif"/>
          <w:b w:val="false"/>
          <w:color w:val="000000"/>
          <w:sz w:val="24"/>
        </w:rPr>
        <w:t>1.</w:t>
      </w:r>
      <w:r>
        <w:rPr>
          <w:rFonts w:ascii="Times New Roman;sans-serif" w:hAnsi="Times New Roman;sans-serif"/>
          <w:b w:val="false"/>
          <w:color w:val="000000"/>
          <w:sz w:val="24"/>
        </w:rPr>
        <w:t>DEFINED TERMS. Defined terms used herein without definition shall have the meanings assigned to them in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2.</w:t>
      </w:r>
      <w:r>
        <w:rPr>
          <w:rFonts w:ascii="Times New Roman;sans-serif" w:hAnsi="Times New Roman;sans-serif"/>
          <w:b w:val="false"/>
          <w:color w:val="000000"/>
          <w:sz w:val="24"/>
        </w:rPr>
        <w:t>AGREEMENT TO GUARANTEE. The New Guarantors hereby unconditionally Guarantee, jointly and severally with all Existing Guarantors, on the terms and subject to the conditions set forth in Article 10 of the Indenture and agrees to be bound by all other applicable provisions of the Indenture and the Notes and to perform all of the obligations and agreements of a Guarantor under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3.</w:t>
      </w:r>
      <w:r>
        <w:rPr>
          <w:rFonts w:ascii="Times New Roman;sans-serif" w:hAnsi="Times New Roman;sans-serif"/>
          <w:b w:val="false"/>
          <w:color w:val="000000"/>
          <w:sz w:val="24"/>
        </w:rPr>
        <w:t>NO RECOURSE AGAINST OTHERS. No past, present or future director, manager, officer, employee, incorporator, stockholder, member or partner of either of the Issuers, any parent entity of the Company or any Subsidiary of the Company, as such, will have any liability for any obligations of the Issuers or the Guarantors under the Notes, this Indenture, the Note Guarantees or for any claim based on, in respect of, or by reason of, such obligations or their creation. Each Holder by accepting a Note waives and releases all such liability. The waiver and release are part of the consideration for issuance of the Notes.</w:t>
      </w:r>
    </w:p>
    <w:p>
      <w:pPr>
        <w:pStyle w:val="TextBody"/>
        <w:spacing w:lineRule="auto" w:line="240" w:before="0" w:after="240"/>
        <w:ind w:left="0" w:right="0" w:firstLine="720"/>
        <w:jc w:val="both"/>
        <w:rPr/>
      </w:pPr>
      <w:r>
        <w:rPr>
          <w:rFonts w:ascii="Times New Roman;sans-serif" w:hAnsi="Times New Roman;sans-serif"/>
          <w:b w:val="false"/>
          <w:color w:val="000000"/>
          <w:sz w:val="24"/>
        </w:rPr>
        <w:t>4.</w:t>
      </w:r>
      <w:r>
        <w:rPr>
          <w:rFonts w:ascii="Times New Roman;sans-serif" w:hAnsi="Times New Roman;sans-serif"/>
          <w:b w:val="false"/>
          <w:color w:val="000000"/>
          <w:sz w:val="24"/>
        </w:rPr>
        <w:t>NOTICES. All notices or other communications to the New Guarantors shall be given as provided in Section 12.02 of the Indenture.</w:t>
      </w:r>
    </w:p>
    <w:p>
      <w:pPr>
        <w:pStyle w:val="TextBody"/>
        <w:spacing w:lineRule="auto" w:line="240" w:before="0" w:after="240"/>
        <w:ind w:left="0" w:right="0" w:firstLine="720"/>
        <w:jc w:val="both"/>
        <w:rPr/>
      </w:pPr>
      <w:r>
        <w:rPr>
          <w:rFonts w:ascii="Times New Roman;sans-serif" w:hAnsi="Times New Roman;sans-serif"/>
          <w:b w:val="false"/>
          <w:color w:val="000000"/>
          <w:sz w:val="24"/>
        </w:rPr>
        <w:t>5.</w:t>
      </w:r>
      <w:r>
        <w:rPr>
          <w:rFonts w:ascii="Times New Roman;sans-serif" w:hAnsi="Times New Roman;sans-serif"/>
          <w:b w:val="false"/>
          <w:color w:val="000000"/>
          <w:sz w:val="24"/>
        </w:rPr>
        <w:t>RATIFICATION OF INDENTURE; SUPPLEMENTAL INDENTURES PART OF INDENTURE.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pStyle w:val="TextBody"/>
        <w:spacing w:lineRule="auto" w:line="240" w:before="0" w:after="240"/>
        <w:ind w:left="0" w:right="0" w:firstLine="720"/>
        <w:jc w:val="both"/>
        <w:rPr/>
      </w:pPr>
      <w:r>
        <w:rPr>
          <w:rFonts w:ascii="Times New Roman;sans-serif" w:hAnsi="Times New Roman;sans-serif"/>
          <w:b w:val="false"/>
          <w:color w:val="000000"/>
          <w:sz w:val="24"/>
        </w:rPr>
        <w:t>6.</w:t>
      </w:r>
      <w:r>
        <w:rPr>
          <w:rFonts w:ascii="Times New Roman;sans-serif" w:hAnsi="Times New Roman;sans-serif"/>
          <w:b w:val="false"/>
          <w:color w:val="000000"/>
          <w:sz w:val="24"/>
        </w:rPr>
        <w:t>GOVERNING LAW. THIS SUPPLEMENTAL INDENTURE SHALL BE GOVERNED BY, AND CONSTRUED IN ACCORDANCE WITH, THE LAWS OF THE STATE OF NEW YORK.</w:t>
      </w:r>
    </w:p>
    <w:p>
      <w:pPr>
        <w:pStyle w:val="TextBody"/>
        <w:spacing w:lineRule="auto" w:line="240" w:before="0" w:after="240"/>
        <w:ind w:left="0" w:right="0" w:firstLine="720"/>
        <w:jc w:val="both"/>
        <w:rPr/>
      </w:pPr>
      <w:r>
        <w:rPr>
          <w:rFonts w:ascii="Times New Roman;sans-serif" w:hAnsi="Times New Roman;sans-serif"/>
          <w:b w:val="false"/>
          <w:color w:val="000000"/>
          <w:sz w:val="24"/>
        </w:rPr>
        <w:t>7.</w:t>
      </w:r>
      <w:r>
        <w:rPr>
          <w:rFonts w:ascii="Times New Roman;sans-serif" w:hAnsi="Times New Roman;sans-serif"/>
          <w:b w:val="false"/>
          <w:color w:val="000000"/>
          <w:sz w:val="24"/>
        </w:rPr>
        <w:t>COUNTERPARTS. The parties may sign any number of copies of this Supplemental Indenture. Each signed copy shall be an original, but all of them together represent the same agreement. The exchange of copies of this Supplemental Indenture and of signature pages by facsimile or PDF transmission shall constitute effective execution and delivery of this Supplemental Indenture as to the parties hereto and may be used in lieu of the original Supplemental Indenture for all purposes. Signatures of the parties hereto transmitted by facsimile or PDF shall be deemed to be their original signatures for all purposes.</w:t>
      </w:r>
    </w:p>
    <w:p>
      <w:pPr>
        <w:pStyle w:val="TextBody"/>
        <w:spacing w:lineRule="auto" w:line="240" w:before="0" w:after="240"/>
        <w:ind w:left="0" w:right="0" w:firstLine="720"/>
        <w:jc w:val="both"/>
        <w:rPr/>
      </w:pPr>
      <w:r>
        <w:rPr>
          <w:rFonts w:ascii="Times New Roman;sans-serif" w:hAnsi="Times New Roman;sans-serif"/>
          <w:b w:val="false"/>
          <w:color w:val="000000"/>
          <w:sz w:val="24"/>
        </w:rPr>
        <w:t>8.</w:t>
      </w:r>
      <w:r>
        <w:rPr>
          <w:rFonts w:ascii="Times New Roman;sans-serif" w:hAnsi="Times New Roman;sans-serif"/>
          <w:b w:val="false"/>
          <w:color w:val="000000"/>
          <w:sz w:val="24"/>
        </w:rPr>
        <w:t xml:space="preserve">EFFECT OF HEADINGS. The Section headings of this Supplemental Indenture have been inserted for convenience of reference only and are not to be considered part of this </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350520"/>
                <wp:effectExtent l="0" t="0" r="0" b="0"/>
                <wp:wrapNone/>
                <wp:docPr id="94" name="Frame9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2</w:t>
                      </w:r>
                    </w:p>
                    <w:p>
                      <w:pPr>
                        <w:pStyle w:val="TextBody"/>
                        <w:spacing w:before="0" w:after="240"/>
                        <w:jc w:val="both"/>
                        <w:rPr/>
                      </w:pPr>
                      <w:r>
                        <w:rPr/>
                      </w:r>
                    </w:p>
                  </w:txbxContent>
                </v:textbox>
              </v:rect>
            </w:pict>
          </mc:Fallback>
        </mc:AlternateConten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Supplemental Indenture or the Indenture and will in no way modify or restrict any of the terms or provisions hereof or thereof.</w:t>
      </w:r>
    </w:p>
    <w:p>
      <w:pPr>
        <w:pStyle w:val="TextBody"/>
        <w:spacing w:lineRule="auto" w:line="240" w:before="0" w:after="240"/>
        <w:ind w:left="0" w:right="0" w:firstLine="720"/>
        <w:jc w:val="both"/>
        <w:rPr/>
      </w:pPr>
      <w:r>
        <w:rPr>
          <w:rFonts w:ascii="Times New Roman;sans-serif" w:hAnsi="Times New Roman;sans-serif"/>
          <w:b w:val="false"/>
          <w:color w:val="000000"/>
          <w:sz w:val="24"/>
        </w:rPr>
        <w:t>9.</w:t>
      </w:r>
      <w:r>
        <w:rPr>
          <w:rFonts w:ascii="Times New Roman;sans-serif" w:hAnsi="Times New Roman;sans-serif"/>
          <w:b w:val="false"/>
          <w:color w:val="000000"/>
          <w:sz w:val="24"/>
        </w:rPr>
        <w:t>SEVERABILITY. In case any provision in this Supplemental Indenture shall be invalid, illegal or unenforceable, the validity, legality and enforceability of the remaining provisions will not in any way be affected or impaired thereby.</w:t>
      </w:r>
    </w:p>
    <w:p>
      <w:pPr>
        <w:pStyle w:val="TextBody"/>
        <w:spacing w:lineRule="auto" w:line="240" w:before="0" w:after="240"/>
        <w:ind w:left="0" w:right="0" w:firstLine="720"/>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rPr>
        <w:t>TRUSTEE MAKES NO REPRESENTATION. The Trustee makes no representation as to the validity or sufficiency of this Supplemental Indenture. The recitals and statements herein are deemed to be those of the Issuers and the Guarantors and not those of the Trustee, and the Trustee assumes no responsibility for their correctness.</w:t>
      </w:r>
    </w:p>
    <w:p>
      <w:pPr>
        <w:pStyle w:val="TextBody"/>
        <w:spacing w:lineRule="auto" w:line="240" w:before="0" w:after="240"/>
        <w:jc w:val="center"/>
        <w:rPr/>
      </w:pPr>
      <w:r>
        <w:rPr>
          <w:rFonts w:ascii="Times New Roman;sans-serif" w:hAnsi="Times New Roman;sans-serif"/>
          <w:b w:val="false"/>
          <w:color w:val="000000"/>
          <w:sz w:val="24"/>
        </w:rPr>
        <w:t>[</w:t>
      </w:r>
      <w:r>
        <w:rPr>
          <w:rFonts w:ascii="Times New Roman;sans-serif" w:hAnsi="Times New Roman;sans-serif"/>
          <w:b w:val="false"/>
          <w:i/>
          <w:color w:val="000000"/>
          <w:sz w:val="24"/>
        </w:rPr>
        <w:t>Remainder of page left intentionally blank</w:t>
      </w:r>
      <w:r>
        <w:rPr>
          <w:rFonts w:ascii="Times New Roman;sans-serif" w:hAnsi="Times New Roman;sans-serif"/>
          <w:b w:val="false"/>
          <w:color w:val="000000"/>
          <w:sz w:val="24"/>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350520"/>
                <wp:effectExtent l="0" t="0" r="0" b="0"/>
                <wp:wrapNone/>
                <wp:docPr id="95" name="Frame95"/>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3</w:t>
                      </w:r>
                    </w:p>
                    <w:p>
                      <w:pPr>
                        <w:pStyle w:val="TextBody"/>
                        <w:spacing w:before="0" w:after="240"/>
                        <w:jc w:val="both"/>
                        <w:rPr/>
                      </w:pPr>
                      <w:r>
                        <w:rPr/>
                      </w:r>
                    </w:p>
                  </w:txbxContent>
                </v:textbox>
              </v:rect>
            </w:pict>
          </mc:Fallback>
        </mc:AlternateContent>
      </w:r>
    </w:p>
    <w:p>
      <w:pPr>
        <w:pStyle w:val="TextBody"/>
        <w:spacing w:lineRule="auto" w:line="240" w:before="0" w:after="240"/>
        <w:ind w:left="0" w:right="0" w:firstLine="720"/>
        <w:jc w:val="both"/>
        <w:rPr>
          <w:rFonts w:ascii="Times New Roman;sans-serif" w:hAnsi="Times New Roman;sans-serif"/>
          <w:b w:val="false"/>
          <w:color w:val="000000"/>
          <w:sz w:val="24"/>
        </w:rPr>
      </w:pPr>
      <w:r>
        <w:rPr>
          <w:rFonts w:ascii="Times New Roman;sans-serif" w:hAnsi="Times New Roman;sans-serif"/>
          <w:b w:val="false"/>
          <w:color w:val="000000"/>
          <w:sz w:val="24"/>
        </w:rPr>
        <w:t>IN WITNESS WHEREOF, the parties hereto have caused this Supplemental Indenture to be duly executed and attested, all as of the date first above written.</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Dated: February 13, 2023</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PARTNERS LP</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480"/>
        <w:rPr>
          <w:rFonts w:ascii="Times New Roman;sans-serif" w:hAnsi="Times New Roman;sans-serif"/>
          <w:b/>
          <w:color w:val="000000"/>
          <w:sz w:val="24"/>
        </w:rPr>
      </w:pPr>
      <w:r>
        <w:rPr>
          <w:rFonts w:ascii="Times New Roman;sans-serif" w:hAnsi="Times New Roman;sans-serif"/>
          <w:b/>
          <w:color w:val="000000"/>
          <w:sz w:val="24"/>
        </w:rPr>
        <w:t>CRESTWOOD MIDSTREAM FINANCE CORP.</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350520"/>
                <wp:effectExtent l="0" t="0" r="0" b="0"/>
                <wp:wrapNone/>
                <wp:docPr id="96" name="Frame96"/>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240"/>
        <w:rPr/>
      </w:pPr>
      <w:r>
        <w:rPr>
          <w:rFonts w:ascii="Times New Roman;sans-serif" w:hAnsi="Times New Roman;sans-serif"/>
          <w:b/>
          <w:color w:val="000000"/>
          <w:sz w:val="24"/>
        </w:rPr>
        <w:t>U.S. BANK TRUST COMPANY</w:t>
      </w:r>
      <w:r>
        <w:rPr>
          <w:rFonts w:ascii="Times New Roman;sans-serif" w:hAnsi="Times New Roman;sans-serif"/>
          <w:b w:val="false"/>
          <w:color w:val="000000"/>
          <w:sz w:val="24"/>
        </w:rPr>
        <w:t>,</w:t>
      </w:r>
      <w:r>
        <w:rPr>
          <w:color w:val="000000"/>
        </w:rPr>
        <w:t xml:space="preserve"> </w:t>
      </w:r>
      <w:r>
        <w:rPr>
          <w:rFonts w:ascii="Times New Roman;sans-serif" w:hAnsi="Times New Roman;sans-serif"/>
          <w:b/>
          <w:color w:val="000000"/>
          <w:sz w:val="24"/>
        </w:rPr>
        <w:t>NATIONAL ASSOCIATION</w:t>
      </w:r>
      <w:r>
        <w:rPr>
          <w:rFonts w:ascii="Times New Roman;sans-serif" w:hAnsi="Times New Roman;sans-serif"/>
          <w:b w:val="false"/>
          <w:color w:val="000000"/>
          <w:sz w:val="24"/>
        </w:rPr>
        <w:t>, as Trustee</w:t>
      </w:r>
    </w:p>
    <w:p>
      <w:pPr>
        <w:pStyle w:val="TextBody"/>
        <w:spacing w:before="0" w:after="24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Brian Jensen    </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Name:    Brian Jensen</w:t>
      </w:r>
    </w:p>
    <w:p>
      <w:pPr>
        <w:pStyle w:val="TextBody"/>
        <w:spacing w:lineRule="auto" w:line="240" w:before="0" w:after="0"/>
        <w:ind w:left="0" w:right="0" w:hanging="810"/>
        <w:rPr>
          <w:rFonts w:ascii="Times New Roman;sans-serif" w:hAnsi="Times New Roman;sans-serif"/>
          <w:b w:val="false"/>
          <w:color w:val="000000"/>
          <w:sz w:val="24"/>
        </w:rPr>
      </w:pPr>
      <w:r>
        <w:rPr>
          <w:rFonts w:ascii="Times New Roman;sans-serif" w:hAnsi="Times New Roman;sans-serif"/>
          <w:b w:val="false"/>
          <w:color w:val="000000"/>
          <w:sz w:val="24"/>
        </w:rPr>
        <w:t>Title:    Vice President</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350520"/>
                <wp:effectExtent l="0" t="0" r="0" b="0"/>
                <wp:wrapNone/>
                <wp:docPr id="97" name="Frame97"/>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MIDSTREAM HOLDINGS,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MANAGER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CMLP TRES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APPALACHIA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ENERGY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MIDSTREAM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OPERATIONS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OPERATING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ROUGH RIDER MIDSTREAM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SENDERO GP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FIELD SERVICES,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ARROW WATER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Arrow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350520"/>
                <wp:effectExtent l="0" t="0" r="0" b="0"/>
                <wp:wrapNone/>
                <wp:docPr id="98" name="Frame98"/>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ARKANSAS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PANHANDLE PIPELINE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LOGISTICS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FINGER LAKES LPG STORAGE,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Midstream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TERMINALS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CRUDE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DAKOTA PIPELINES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Crude Logistics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350520"/>
                <wp:effectExtent l="0" t="0" r="0" b="0"/>
                <wp:wrapNone/>
                <wp:docPr id="99" name="Frame99"/>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MARCELLUS MIDSTREAM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Pipeline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E. MARCELLUS ASSET COMPANY,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Marcellus Midstream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SALES &amp; SERVICE INC.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Shareholder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TRANSPORTATION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STELLAR PROPANE SERVICE,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Services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rPr/>
      </w:pPr>
      <w:r>
        <w:rPr/>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350520"/>
                <wp:effectExtent l="0" t="0" r="0" b="0"/>
                <wp:wrapNone/>
                <wp:docPr id="100" name="Frame100"/>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SERVICES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Operations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BEARTOOTH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BIGHORN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BOBCAT DEVCO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PANTHER DEVCO LLC</w:t>
      </w:r>
    </w:p>
    <w:p>
      <w:pPr>
        <w:pStyle w:val="TextBody"/>
        <w:spacing w:before="0" w:after="0"/>
        <w:rPr/>
      </w:pPr>
      <w:r>
        <w:rPr/>
      </w:r>
    </w:p>
    <w:p>
      <w:pPr>
        <w:pStyle w:val="TextBody"/>
        <w:spacing w:lineRule="auto" w:line="240" w:before="0" w:after="480"/>
        <w:rPr>
          <w:rFonts w:ascii="Times New Roman;sans-serif" w:hAnsi="Times New Roman;sans-serif"/>
          <w:b w:val="false"/>
          <w:color w:val="000000"/>
          <w:sz w:val="24"/>
        </w:rPr>
      </w:pPr>
      <w:r>
        <w:rPr>
          <w:rFonts w:ascii="Times New Roman;sans-serif" w:hAnsi="Times New Roman;sans-serif"/>
          <w:b w:val="false"/>
          <w:color w:val="000000"/>
          <w:sz w:val="24"/>
        </w:rPr>
        <w:t>By: Rough Rider Operating LLC, its Managing Member</w:t>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Title:    Vice President, Associate General Counsel &amp; Corporate Secretary</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350520"/>
                <wp:effectExtent l="0" t="0" r="0" b="0"/>
                <wp:wrapNone/>
                <wp:docPr id="101" name="Frame101"/>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PARTNERS, LP</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MIDSTREAM HOLDINGS,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Partners, LP,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Crestwood Sendero GP LLC, its General Partner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MIDSTREAM,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SENDERO CARLSBAD FINANCE,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Sendero Midstream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r>
        <w:br w:type="page"/>
      </w:r>
    </w:p>
    <w:p>
      <w:pPr>
        <w:pStyle w:val="TextBody"/>
        <w:spacing w:before="0" w:after="240"/>
        <w:jc w:val="righ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350520"/>
                <wp:effectExtent l="0" t="0" r="0" b="0"/>
                <wp:wrapNone/>
                <wp:docPr id="102" name="Frame102"/>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PERMIAN BASIN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SUBSIDIARY HOLDINGS LLC</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CRESTWOOD NEW MEXICO PIPELINE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TRANSPORTATION &amp; MARKETING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OPERATOR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WATER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Subsidiary Holdings LLC, its sole member</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0"/>
        <w:rPr/>
      </w:pPr>
      <w:r>
        <w:rPr/>
      </w:r>
    </w:p>
    <w:p>
      <w:pPr>
        <w:pStyle w:val="TextBody"/>
        <w:spacing w:before="0" w:after="0"/>
        <w:rPr/>
      </w:pPr>
      <w:r>
        <w:rPr/>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#1 LLC</w:t>
      </w:r>
    </w:p>
    <w:p>
      <w:pPr>
        <w:pStyle w:val="TextBody"/>
        <w:spacing w:lineRule="auto" w:line="240" w:before="0" w:after="0"/>
        <w:rPr>
          <w:rFonts w:ascii="Times New Roman;sans-serif" w:hAnsi="Times New Roman;sans-serif"/>
          <w:b/>
          <w:color w:val="000000"/>
          <w:sz w:val="24"/>
        </w:rPr>
      </w:pPr>
      <w:r>
        <w:rPr>
          <w:rFonts w:ascii="Times New Roman;sans-serif" w:hAnsi="Times New Roman;sans-serif"/>
          <w:b/>
          <w:color w:val="000000"/>
          <w:sz w:val="24"/>
        </w:rPr>
        <w:t>CPB BOWSER SWD #2 LLC</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By: CPB Water LLC, its sole member</w:t>
      </w:r>
    </w:p>
    <w:p>
      <w:pPr>
        <w:pStyle w:val="TextBody"/>
        <w:spacing w:before="0" w:after="0"/>
        <w:rPr/>
      </w:pPr>
      <w:r>
        <w:rPr/>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 xml:space="preserve">By: CPB Subsidiary Holdings LLC, its sole member </w:t>
      </w:r>
    </w:p>
    <w:p>
      <w:pPr>
        <w:pStyle w:val="TextBody"/>
        <w:spacing w:before="0" w:after="0"/>
        <w:rPr/>
      </w:pPr>
      <w:r>
        <w:rPr/>
      </w:r>
    </w:p>
    <w:p>
      <w:pPr>
        <w:pStyle w:val="TextBody"/>
        <w:spacing w:before="0" w:after="0"/>
        <w:rPr/>
      </w:pPr>
      <w:r>
        <w:rPr/>
      </w:r>
    </w:p>
    <w:p>
      <w:pPr>
        <w:pStyle w:val="TextBody"/>
        <w:spacing w:lineRule="auto" w:line="240" w:before="0" w:after="0"/>
        <w:rPr/>
      </w:pPr>
      <w:r>
        <w:rPr>
          <w:rFonts w:ascii="Times New Roman;sans-serif" w:hAnsi="Times New Roman;sans-serif"/>
          <w:b w:val="false"/>
          <w:color w:val="000000"/>
          <w:sz w:val="24"/>
        </w:rPr>
        <w:t>By:    </w:t>
      </w:r>
      <w:r>
        <w:rPr>
          <w:rFonts w:ascii="Times New Roman;sans-serif" w:hAnsi="Times New Roman;sans-serif"/>
          <w:b w:val="false"/>
          <w:color w:val="000000"/>
          <w:sz w:val="24"/>
          <w:u w:val="single"/>
        </w:rPr>
        <w:t>/s/ Michael K. Post</w:t>
      </w:r>
      <w:r>
        <w:rPr>
          <w:color w:val="000000"/>
        </w:rPr>
        <w:t>    </w:t>
      </w:r>
    </w:p>
    <w:p>
      <w:pPr>
        <w:pStyle w:val="TextBody"/>
        <w:spacing w:lineRule="auto" w:line="240" w:before="0" w:after="0"/>
        <w:rPr>
          <w:rFonts w:ascii="Times New Roman;sans-serif" w:hAnsi="Times New Roman;sans-serif"/>
          <w:b w:val="false"/>
          <w:color w:val="000000"/>
          <w:sz w:val="24"/>
        </w:rPr>
      </w:pPr>
      <w:r>
        <w:rPr>
          <w:rFonts w:ascii="Times New Roman;sans-serif" w:hAnsi="Times New Roman;sans-serif"/>
          <w:b w:val="false"/>
          <w:color w:val="000000"/>
          <w:sz w:val="24"/>
        </w:rPr>
        <w:t>Name:    Michael K. Post</w:t>
      </w:r>
    </w:p>
    <w:p>
      <w:pPr>
        <w:pStyle w:val="TextBody"/>
        <w:spacing w:lineRule="auto" w:line="240"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Title:    Vice President, Associate General Counsel &amp; Corporate Secretary </w:t>
      </w:r>
    </w:p>
    <w:p>
      <w:pPr>
        <w:pStyle w:val="TextBody"/>
        <w:spacing w:before="0" w:after="240"/>
        <w:jc w:val="both"/>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jc w:val="righ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350520"/>
                <wp:effectExtent l="0" t="0" r="0" b="0"/>
                <wp:wrapNone/>
                <wp:docPr id="103" name="Frame103"/>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40" w:before="0" w:after="0"/>
                        <w:jc w:val="center"/>
                        <w:rPr>
                          <w:rFonts w:ascii="Times New Roman;sans-serif" w:hAnsi="Times New Roman;sans-serif"/>
                          <w:b w:val="false"/>
                          <w:i/>
                          <w:color w:val="000000"/>
                          <w:sz w:val="24"/>
                        </w:rPr>
                      </w:pPr>
                      <w:r>
                        <w:rPr>
                          <w:rFonts w:ascii="Times New Roman;sans-serif" w:hAnsi="Times New Roman;sans-serif"/>
                          <w:b w:val="false"/>
                          <w:i/>
                          <w:color w:val="000000"/>
                          <w:sz w:val="24"/>
                        </w:rPr>
                        <w:t>Signature Page to Crestwood 2031 Supplemental Indenture</w:t>
                      </w:r>
                    </w:p>
                    <w:p>
                      <w:pPr>
                        <w:pStyle w:val="TextBody"/>
                        <w:spacing w:before="0" w:after="240"/>
                        <w:jc w:val="both"/>
                        <w:rPr/>
                      </w:pPr>
                      <w:r>
                        <w:rPr/>
                      </w:r>
                    </w:p>
                  </w:txbxContent>
                </v:textbox>
              </v:rect>
            </w:pict>
          </mc:Fallback>
        </mc:AlternateContent>
      </w:r>
    </w:p>
    <w:p>
      <w:pPr>
        <w:pStyle w:val="TextBody"/>
        <w:spacing w:lineRule="auto" w:line="240" w:before="0" w:after="240"/>
        <w:jc w:val="center"/>
        <w:rPr>
          <w:rFonts w:ascii="Times New Roman;sans-serif" w:hAnsi="Times New Roman;sans-serif"/>
          <w:b/>
          <w:color w:val="000000"/>
          <w:sz w:val="24"/>
          <w:u w:val="single"/>
        </w:rPr>
      </w:pPr>
      <w:r>
        <w:rPr>
          <w:rFonts w:ascii="Times New Roman;sans-serif" w:hAnsi="Times New Roman;sans-serif"/>
          <w:b/>
          <w:color w:val="000000"/>
          <w:sz w:val="24"/>
          <w:u w:val="single"/>
        </w:rPr>
        <w:t>SCHEDULE A</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    ARROW FIELD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    ARROW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    ARROW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4.    ARROW WATER,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5.    ARROW WATER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6.    BEARTOOTH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7.    BIGHORN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8.    BOBCAT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9.    CMLP TRES MANAGER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10.    CMLP TRES OPERATOR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11.    CRESTWOOD APPALACHIA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12.    CRESTWOOD ARKANSAS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13.    CRESTWOOD CRUDE LOGISTICS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14.    CRESTWOOD CRUDE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15.    CRESTWOOD CRUDE TERMINALS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16.    CRESTWOOD CRUDE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17.    CRESTWOOD DAKOTA PIPELINES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18.    CRESTWOOD ENERGY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19.    CRESTWOOD MARCELLUS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20.    CRESTWOOD MARCELLUS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21.    CRESTWOOD MIDSTREAM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22.    CRESTWOOD OPERATIONS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23.    CRESTWOOD PANHANDLE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24.    CRESTWOOD PIPELINE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25.    CRESTWOOD SALES &amp; SERVICES INC.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26.    CRESTWOOD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27.    CRESTWOOD TRANSPORTATION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28.    E. MARCELLUS ASSET COMPANY,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29.    FINGER LAKES LPG STORAGE,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30.    STELLAR PROPANE SERVICE,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31.    PANTHER DEVCO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32.    ROUGH RIDER MIDSTREAM SERVICES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33.    ROUGH RIDER OPERATING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34.    CRESTWOOD SENDERO GP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35.    SENDERO MIDSTREAM PARTNERS, LP</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36.    SENDERO MIDSTREAM HOLDINGS,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37.    SENDERO CARLSBAD MIDSTREAM, LLC</w:t>
      </w:r>
    </w:p>
    <w:p>
      <w:pPr>
        <w:pStyle w:val="TextBody"/>
        <w:spacing w:lineRule="auto" w:line="240"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38.    SENDERO CARLSBAD FINANCE, LLC</w:t>
      </w:r>
    </w:p>
    <w:p>
      <w:pPr>
        <w:pStyle w:val="TextBody"/>
        <w:spacing w:before="0" w:after="240"/>
        <w:jc w:val="both"/>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350520"/>
                <wp:effectExtent l="0" t="0" r="0" b="0"/>
                <wp:wrapNone/>
                <wp:docPr id="104" name="Frame104"/>
                <a:graphic xmlns:a="http://schemas.openxmlformats.org/drawingml/2006/main">
                  <a:graphicData uri="http://schemas.microsoft.com/office/word/2010/wordprocessingShape">
                    <wps:wsp>
                      <wps:cNvSpPr txBox="1"/>
                      <wps:spPr>
                        <a:xfrm>
                          <a:off x="0" y="0"/>
                          <a:ext cx="6480175" cy="350520"/>
                        </a:xfrm>
                        <a:prstGeom prst="rect"/>
                      </wps:spPr>
                      <wps:txb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Schedule A-1</w:t>
                      </w:r>
                    </w:p>
                    <w:p>
                      <w:pPr>
                        <w:pStyle w:val="TextBody"/>
                        <w:spacing w:before="0" w:after="240"/>
                        <w:jc w:val="both"/>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Robert G. Phillips,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Crestwood Equity Partners LP (the “registrant”);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229" w:type="dxa"/>
        <w:jc w:val="right"/>
        <w:tblInd w:w="0" w:type="dxa"/>
        <w:tblCellMar>
          <w:top w:w="28" w:type="dxa"/>
          <w:left w:w="28" w:type="dxa"/>
          <w:bottom w:w="28" w:type="dxa"/>
          <w:right w:w="28" w:type="dxa"/>
        </w:tblCellMar>
      </w:tblPr>
      <w:tblGrid>
        <w:gridCol w:w="1355"/>
        <w:gridCol w:w="1189"/>
        <w:gridCol w:w="1685"/>
      </w:tblGrid>
      <w:tr>
        <w:trPr/>
        <w:tc>
          <w:tcPr>
            <w:tcW w:w="135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G. Phillips</w:t>
            </w:r>
          </w:p>
        </w:tc>
      </w:tr>
      <w:tr>
        <w:trPr/>
        <w:tc>
          <w:tcPr>
            <w:tcW w:w="4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Robert G. Phillips</w:t>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Founder, Chairman and Chief Executive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John Black,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Crestwood Equity Partners LP (the “registrant”);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619" w:type="dxa"/>
        <w:jc w:val="right"/>
        <w:tblInd w:w="0" w:type="dxa"/>
        <w:tblCellMar>
          <w:top w:w="28" w:type="dxa"/>
          <w:left w:w="28" w:type="dxa"/>
          <w:bottom w:w="28" w:type="dxa"/>
          <w:right w:w="28" w:type="dxa"/>
        </w:tblCellMar>
      </w:tblPr>
      <w:tblGrid>
        <w:gridCol w:w="1473"/>
        <w:gridCol w:w="1295"/>
        <w:gridCol w:w="1851"/>
      </w:tblGrid>
      <w:tr>
        <w:trPr/>
        <w:tc>
          <w:tcPr>
            <w:tcW w:w="147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Black</w:t>
            </w:r>
          </w:p>
        </w:tc>
      </w:tr>
      <w:tr>
        <w:trPr/>
        <w:tc>
          <w:tcPr>
            <w:tcW w:w="4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Black</w:t>
            </w:r>
          </w:p>
        </w:tc>
      </w:tr>
      <w:tr>
        <w:trPr/>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r>
    </w:tbl>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10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31.3</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Robert G. Phillips,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Crestwood Midstream Partners LP (the “registrant”);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229" w:type="dxa"/>
        <w:jc w:val="right"/>
        <w:tblInd w:w="0" w:type="dxa"/>
        <w:tblCellMar>
          <w:top w:w="28" w:type="dxa"/>
          <w:left w:w="28" w:type="dxa"/>
          <w:bottom w:w="28" w:type="dxa"/>
          <w:right w:w="28" w:type="dxa"/>
        </w:tblCellMar>
      </w:tblPr>
      <w:tblGrid>
        <w:gridCol w:w="1355"/>
        <w:gridCol w:w="1189"/>
        <w:gridCol w:w="1685"/>
      </w:tblGrid>
      <w:tr>
        <w:trPr/>
        <w:tc>
          <w:tcPr>
            <w:tcW w:w="1355" w:type="dxa"/>
            <w:tcBorders/>
            <w:shd w:fill="auto" w:val="clear"/>
            <w:vAlign w:val="center"/>
          </w:tcPr>
          <w:p>
            <w:pPr>
              <w:pStyle w:val="TableContents"/>
              <w:spacing w:before="0" w:after="283"/>
              <w:rPr>
                <w:sz w:val="4"/>
                <w:szCs w:val="4"/>
              </w:rPr>
            </w:pPr>
            <w:r>
              <w:rPr>
                <w:sz w:val="4"/>
                <w:szCs w:val="4"/>
              </w:rPr>
            </w:r>
          </w:p>
        </w:tc>
        <w:tc>
          <w:tcPr>
            <w:tcW w:w="1189" w:type="dxa"/>
            <w:tcBorders/>
            <w:shd w:fill="auto" w:val="clear"/>
            <w:vAlign w:val="center"/>
          </w:tcPr>
          <w:p>
            <w:pPr>
              <w:pStyle w:val="TableContents"/>
              <w:spacing w:before="0" w:after="283"/>
              <w:rPr>
                <w:sz w:val="4"/>
                <w:szCs w:val="4"/>
              </w:rPr>
            </w:pPr>
            <w:r>
              <w:rPr>
                <w:sz w:val="4"/>
                <w:szCs w:val="4"/>
              </w:rPr>
            </w:r>
          </w:p>
        </w:tc>
        <w:tc>
          <w:tcPr>
            <w:tcW w:w="1685" w:type="dxa"/>
            <w:tcBorders/>
            <w:shd w:fill="auto" w:val="clear"/>
            <w:vAlign w:val="center"/>
          </w:tcPr>
          <w:p>
            <w:pPr>
              <w:pStyle w:val="TableContents"/>
              <w:spacing w:before="0" w:after="283"/>
              <w:rPr>
                <w:sz w:val="4"/>
                <w:szCs w:val="4"/>
              </w:rPr>
            </w:pPr>
            <w:r>
              <w:rPr>
                <w:sz w:val="4"/>
                <w:szCs w:val="4"/>
              </w:rPr>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G. Phillips</w:t>
            </w:r>
          </w:p>
        </w:tc>
      </w:tr>
      <w:tr>
        <w:trPr/>
        <w:tc>
          <w:tcPr>
            <w:tcW w:w="42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Robert G. Phillips</w:t>
            </w:r>
          </w:p>
        </w:tc>
      </w:tr>
      <w:tr>
        <w:trPr/>
        <w:tc>
          <w:tcPr>
            <w:tcW w:w="42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Founder, Chairman and Chief Executive Officer</w:t>
            </w:r>
          </w:p>
        </w:tc>
      </w:tr>
    </w:tbl>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 xml:space="preserve">Exhibit 31.4 </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CERTIFICATIONS</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 John Black, certify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Crestwood Midstream Partners LP (the “registrant”);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 - 15(f)) for the registrant and have:</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 xml:space="preserve">Date: May 4, 2023 </w:t>
      </w:r>
    </w:p>
    <w:tbl>
      <w:tblPr>
        <w:tblW w:w="4619" w:type="dxa"/>
        <w:jc w:val="right"/>
        <w:tblInd w:w="0" w:type="dxa"/>
        <w:tblCellMar>
          <w:top w:w="28" w:type="dxa"/>
          <w:left w:w="28" w:type="dxa"/>
          <w:bottom w:w="28" w:type="dxa"/>
          <w:right w:w="28" w:type="dxa"/>
        </w:tblCellMar>
      </w:tblPr>
      <w:tblGrid>
        <w:gridCol w:w="1473"/>
        <w:gridCol w:w="1295"/>
        <w:gridCol w:w="1851"/>
      </w:tblGrid>
      <w:tr>
        <w:trPr/>
        <w:tc>
          <w:tcPr>
            <w:tcW w:w="1473" w:type="dxa"/>
            <w:tcBorders/>
            <w:shd w:fill="auto" w:val="clear"/>
            <w:vAlign w:val="center"/>
          </w:tcPr>
          <w:p>
            <w:pPr>
              <w:pStyle w:val="TableContents"/>
              <w:spacing w:before="0" w:after="283"/>
              <w:rPr>
                <w:sz w:val="4"/>
                <w:szCs w:val="4"/>
              </w:rPr>
            </w:pPr>
            <w:r>
              <w:rPr>
                <w:sz w:val="4"/>
                <w:szCs w:val="4"/>
              </w:rPr>
            </w:r>
          </w:p>
        </w:tc>
        <w:tc>
          <w:tcPr>
            <w:tcW w:w="1295" w:type="dxa"/>
            <w:tcBorders/>
            <w:shd w:fill="auto" w:val="clear"/>
            <w:vAlign w:val="center"/>
          </w:tcPr>
          <w:p>
            <w:pPr>
              <w:pStyle w:val="TableContents"/>
              <w:spacing w:before="0" w:after="283"/>
              <w:rPr>
                <w:sz w:val="4"/>
                <w:szCs w:val="4"/>
              </w:rPr>
            </w:pPr>
            <w:r>
              <w:rPr>
                <w:sz w:val="4"/>
                <w:szCs w:val="4"/>
              </w:rPr>
            </w:r>
          </w:p>
        </w:tc>
        <w:tc>
          <w:tcPr>
            <w:tcW w:w="1851" w:type="dxa"/>
            <w:tcBorders/>
            <w:shd w:fill="auto" w:val="clear"/>
            <w:vAlign w:val="center"/>
          </w:tcPr>
          <w:p>
            <w:pPr>
              <w:pStyle w:val="TableContents"/>
              <w:spacing w:before="0" w:after="283"/>
              <w:rPr>
                <w:sz w:val="4"/>
                <w:szCs w:val="4"/>
              </w:rPr>
            </w:pPr>
            <w:r>
              <w:rPr>
                <w:sz w:val="4"/>
                <w:szCs w:val="4"/>
              </w:rPr>
            </w:r>
          </w:p>
        </w:tc>
      </w:tr>
      <w:tr>
        <w:trPr/>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Black</w:t>
            </w:r>
          </w:p>
        </w:tc>
      </w:tr>
      <w:tr>
        <w:trPr/>
        <w:tc>
          <w:tcPr>
            <w:tcW w:w="461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Black</w:t>
            </w:r>
          </w:p>
        </w:tc>
      </w:tr>
      <w:tr>
        <w:trPr/>
        <w:tc>
          <w:tcPr>
            <w:tcW w:w="46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Executive Vice President and Chief Financial Officer</w:t>
            </w:r>
          </w:p>
        </w:tc>
      </w:tr>
    </w:tbl>
    <w:p>
      <w:pPr>
        <w:pStyle w:val="TextBody"/>
        <w:jc w:val="right"/>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Crestwood Equity Partners LP (the “Company”) on Form 10-Q for the period ended March 31, 2023, as filed with the Securities and Exchange Commission on the date hereof (the “Report”), I, Robert G. Phillips, Chief Executive Officer of Crestwood Equity Partners LP, certify, pursuant to 18 U.S.C. §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84" w:type="dxa"/>
        <w:jc w:val="left"/>
        <w:tblInd w:w="0" w:type="dxa"/>
        <w:tblCellMar>
          <w:top w:w="28" w:type="dxa"/>
          <w:left w:w="28" w:type="dxa"/>
          <w:bottom w:w="28" w:type="dxa"/>
          <w:right w:w="28" w:type="dxa"/>
        </w:tblCellMar>
      </w:tblPr>
      <w:tblGrid>
        <w:gridCol w:w="417"/>
        <w:gridCol w:w="368"/>
        <w:gridCol w:w="370"/>
        <w:gridCol w:w="621"/>
        <w:gridCol w:w="621"/>
        <w:gridCol w:w="887"/>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G. Phillips</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2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Robert G. Phillips </w:t>
              <w:br/>
              <w:t>Chief Executive Officer</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Crestwood Equity Partners LP (the “Company”) on Form 10-Q for the period ended March 31, 2023, as filed with the Securities and Exchange Commission on the date hereof (the “Report”), I, John Black, Chief Financial Officer of Crestwood Equity Partners LP, certify, pursuant to 18 U.S.C. §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55" w:type="dxa"/>
        <w:jc w:val="left"/>
        <w:tblInd w:w="0" w:type="dxa"/>
        <w:tblCellMar>
          <w:top w:w="28" w:type="dxa"/>
          <w:left w:w="28" w:type="dxa"/>
          <w:bottom w:w="28" w:type="dxa"/>
          <w:right w:w="28" w:type="dxa"/>
        </w:tblCellMar>
      </w:tblPr>
      <w:tblGrid>
        <w:gridCol w:w="417"/>
        <w:gridCol w:w="368"/>
        <w:gridCol w:w="370"/>
        <w:gridCol w:w="612"/>
        <w:gridCol w:w="612"/>
        <w:gridCol w:w="876"/>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Black</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Black</w:t>
              <w:br/>
              <w:t>Chief Financial Officer</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32.3</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Executive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Crestwood Midstream Partners LP (the “Company”) on Form 10-Q for the period ended March 31, 2023, as filed with the Securities and Exchange Commission on the date hereof (the “Report”), I, Robert G. Phillips, Chief Executive Officer of Crestwood Midstream Partners LP, certify, pursuant to 18 U.S.C. §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84" w:type="dxa"/>
        <w:jc w:val="left"/>
        <w:tblInd w:w="0" w:type="dxa"/>
        <w:tblCellMar>
          <w:top w:w="28" w:type="dxa"/>
          <w:left w:w="28" w:type="dxa"/>
          <w:bottom w:w="28" w:type="dxa"/>
          <w:right w:w="28" w:type="dxa"/>
        </w:tblCellMar>
      </w:tblPr>
      <w:tblGrid>
        <w:gridCol w:w="417"/>
        <w:gridCol w:w="368"/>
        <w:gridCol w:w="370"/>
        <w:gridCol w:w="621"/>
        <w:gridCol w:w="621"/>
        <w:gridCol w:w="887"/>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621" w:type="dxa"/>
            <w:tcBorders/>
            <w:shd w:fill="auto" w:val="clear"/>
            <w:vAlign w:val="center"/>
          </w:tcPr>
          <w:p>
            <w:pPr>
              <w:pStyle w:val="TableContents"/>
              <w:spacing w:before="0" w:after="283"/>
              <w:rPr>
                <w:sz w:val="4"/>
                <w:szCs w:val="4"/>
              </w:rPr>
            </w:pPr>
            <w:r>
              <w:rPr>
                <w:sz w:val="4"/>
                <w:szCs w:val="4"/>
              </w:rPr>
            </w:r>
          </w:p>
        </w:tc>
        <w:tc>
          <w:tcPr>
            <w:tcW w:w="887"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Robert G. Phillips</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212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Robert G. Phillips </w:t>
              <w:br/>
              <w:t>Chief Executive Officer</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jc w:val="center"/>
        <w:rPr/>
      </w:pPr>
      <w:r>
        <w:rPr/>
      </w:r>
    </w:p>
    <w:p>
      <w:pPr>
        <w:pStyle w:val="TextBody"/>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32.4</w:t>
      </w:r>
    </w:p>
    <w:p>
      <w:pPr>
        <w:pStyle w:val="TextBody"/>
        <w:spacing w:before="0" w:after="0"/>
        <w:jc w:val="right"/>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the Chief Financial Officer</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spacing w:before="0" w:after="0"/>
        <w:rPr/>
      </w:pPr>
      <w:r>
        <w:rPr/>
      </w:r>
    </w:p>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Crestwood Midstream Partners LP (the “Company”) on Form 10-Q for the period ended March 31, 2023, as filed with the Securities and Exchange Commission on the date hereof (the “Report”), I, John Black, Chief Financial Officer of Crestwood Midstream Partners LP, certify, pursuant to 18 U.S.C. § 1350, as adopted pursuant to Section 906 of the Sarbanes-Oxley Act of 2002, that:</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spacing w:before="0" w:after="0"/>
        <w:rPr/>
      </w:pPr>
      <w:r>
        <w:rPr/>
      </w:r>
    </w:p>
    <w:p>
      <w:pPr>
        <w:pStyle w:val="TextBody"/>
        <w:spacing w:lineRule="auto" w:line="28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tbl>
      <w:tblPr>
        <w:tblW w:w="3255" w:type="dxa"/>
        <w:jc w:val="left"/>
        <w:tblInd w:w="0" w:type="dxa"/>
        <w:tblCellMar>
          <w:top w:w="28" w:type="dxa"/>
          <w:left w:w="28" w:type="dxa"/>
          <w:bottom w:w="28" w:type="dxa"/>
          <w:right w:w="28" w:type="dxa"/>
        </w:tblCellMar>
      </w:tblPr>
      <w:tblGrid>
        <w:gridCol w:w="417"/>
        <w:gridCol w:w="368"/>
        <w:gridCol w:w="370"/>
        <w:gridCol w:w="612"/>
        <w:gridCol w:w="612"/>
        <w:gridCol w:w="876"/>
      </w:tblGrid>
      <w:tr>
        <w:trPr/>
        <w:tc>
          <w:tcPr>
            <w:tcW w:w="417"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612" w:type="dxa"/>
            <w:tcBorders/>
            <w:shd w:fill="auto" w:val="clear"/>
            <w:vAlign w:val="center"/>
          </w:tcPr>
          <w:p>
            <w:pPr>
              <w:pStyle w:val="TableContents"/>
              <w:spacing w:before="0" w:after="283"/>
              <w:rPr>
                <w:sz w:val="4"/>
                <w:szCs w:val="4"/>
              </w:rPr>
            </w:pPr>
            <w:r>
              <w:rPr>
                <w:sz w:val="4"/>
                <w:szCs w:val="4"/>
              </w:rPr>
            </w:r>
          </w:p>
        </w:tc>
        <w:tc>
          <w:tcPr>
            <w:tcW w:w="876" w:type="dxa"/>
            <w:tcBorders/>
            <w:shd w:fill="auto" w:val="clear"/>
            <w:vAlign w:val="center"/>
          </w:tcPr>
          <w:p>
            <w:pPr>
              <w:pStyle w:val="TableContents"/>
              <w:spacing w:before="0" w:after="283"/>
              <w:rPr>
                <w:sz w:val="4"/>
                <w:szCs w:val="4"/>
              </w:rPr>
            </w:pPr>
            <w:r>
              <w:rPr>
                <w:sz w:val="4"/>
                <w:szCs w:val="4"/>
              </w:rPr>
            </w:r>
          </w:p>
        </w:tc>
      </w:tr>
      <w:tr>
        <w:trPr/>
        <w:tc>
          <w:tcPr>
            <w:tcW w:w="115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John Black</w:t>
            </w:r>
          </w:p>
        </w:tc>
      </w:tr>
      <w:tr>
        <w:trPr/>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4, 2023</w:t>
            </w:r>
          </w:p>
        </w:tc>
        <w:tc>
          <w:tcPr>
            <w:tcW w:w="210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John Black</w:t>
              <w:br/>
              <w:t>Chief Financial Officer</w:t>
            </w:r>
          </w:p>
        </w:tc>
      </w:tr>
    </w:tbl>
    <w:p>
      <w:pPr>
        <w:pStyle w:val="TextBody"/>
        <w:spacing w:before="0" w:after="0"/>
        <w:rPr/>
      </w:pPr>
      <w:r>
        <w:rPr/>
      </w:r>
    </w:p>
    <w:p>
      <w:pPr>
        <w:pStyle w:val="TextBody"/>
        <w:spacing w:lineRule="auto" w:line="288" w:before="0" w:after="0"/>
        <w:jc w:val="center"/>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pStyle w:val="TextBody"/>
        <w:rPr/>
      </w:pPr>
      <w:r>
        <w:rPr/>
      </w:r>
      <w:r>
        <w:br w:type="page"/>
      </w:r>
    </w:p>
    <w:p>
      <w:pPr>
        <w:pStyle w:val="TextBody"/>
        <w:spacing w:before="0" w:after="283"/>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36352/000119312521178768/d172946dex21.htm" TargetMode="External"/><Relationship Id="rId3" Type="http://schemas.openxmlformats.org/officeDocument/2006/relationships/hyperlink" Target="http://www.sec.gov/Archives/edgar/data/1136352/000119312522161103/d355863dex21.htm" TargetMode="External"/><Relationship Id="rId4" Type="http://schemas.openxmlformats.org/officeDocument/2006/relationships/hyperlink" Target="http://www.sec.gov/Archives/edgar/data/1136352/000119312522161103/d355863dex22.htm" TargetMode="External"/><Relationship Id="rId5" Type="http://schemas.openxmlformats.org/officeDocument/2006/relationships/hyperlink" Target="http://www.sec.gov/Archives/edgar/data/1136352/000089924301000564/0000899243-01-000564-0002.txt" TargetMode="External"/><Relationship Id="rId6" Type="http://schemas.openxmlformats.org/officeDocument/2006/relationships/hyperlink" Target="http://www.sec.gov/Archives/edgar/data/1136352/000095013103002766/dex31.htm" TargetMode="External"/><Relationship Id="rId7" Type="http://schemas.openxmlformats.org/officeDocument/2006/relationships/hyperlink" Target="http://www.sec.gov/Archives/edgar/data/1136352/000119312513396762/d608973dex32.htm" TargetMode="External"/><Relationship Id="rId8" Type="http://schemas.openxmlformats.org/officeDocument/2006/relationships/hyperlink" Target="http://www.sec.gov/Archives/edgar/data/1136352/000089924301500328/dex35.txt" TargetMode="External"/><Relationship Id="rId9" Type="http://schemas.openxmlformats.org/officeDocument/2006/relationships/hyperlink" Target="http://www.sec.gov/Archives/edgar/data/1136352/000113635213000019/ex33ainergygp-certofamendm.htm" TargetMode="External"/><Relationship Id="rId10" Type="http://schemas.openxmlformats.org/officeDocument/2006/relationships/hyperlink" Target="http://www.sec.gov/Archives/edgar/data/1136352/000119312512406884/d416719dex31.htm" TargetMode="External"/><Relationship Id="rId11" Type="http://schemas.openxmlformats.org/officeDocument/2006/relationships/hyperlink" Target="http://www.sec.gov/Archives/edgar/data/1136352/000113635213000019/ex34anrgygp-amendmentno1to.htm" TargetMode="External"/><Relationship Id="rId12" Type="http://schemas.openxmlformats.org/officeDocument/2006/relationships/hyperlink" Target="http://www.sec.gov/Archives/edgar/data/1136352/000119312514140692/d709154dex31.htm" TargetMode="External"/><Relationship Id="rId13" Type="http://schemas.openxmlformats.org/officeDocument/2006/relationships/hyperlink" Target="http://www.sec.gov/Archives/edgar/data/1136352/000110465915068485/a15-20378_1ex3d1.htm" TargetMode="External"/><Relationship Id="rId14" Type="http://schemas.openxmlformats.org/officeDocument/2006/relationships/hyperlink" Target="http://www.sec.gov/Archives/edgar/data/1136352/000119312517341069/d494208dex31.htm" TargetMode="External"/><Relationship Id="rId15" Type="http://schemas.openxmlformats.org/officeDocument/2006/relationships/hyperlink" Target="http://www.sec.gov/Archives/edgar/data/1136352/000119312518183473/d583002dex31.htm" TargetMode="External"/><Relationship Id="rId16" Type="http://schemas.openxmlformats.org/officeDocument/2006/relationships/hyperlink" Target="http://www.sec.gov/Archives/edgar/data/1304464/000110465915068484/a15-20380_1ex3d1.htm" TargetMode="External"/><Relationship Id="rId17" Type="http://schemas.openxmlformats.org/officeDocument/2006/relationships/hyperlink" Target="http://www.sec.gov/Archives/edgar/data/1304464/000119312511317691/d221930dex37.htm" TargetMode="External"/><Relationship Id="rId18" Type="http://schemas.openxmlformats.org/officeDocument/2006/relationships/hyperlink" Target="http://www.sec.gov/Archives/edgar/data/1304464/000119312511350873/d274580dex32.htm" TargetMode="External"/><Relationship Id="rId19" Type="http://schemas.openxmlformats.org/officeDocument/2006/relationships/hyperlink" Target="http://www.sec.gov/Archives/edgar/data/1304464/000119312513413687/d586989dex339.htm" TargetMode="External"/><Relationship Id="rId20" Type="http://schemas.openxmlformats.org/officeDocument/2006/relationships/hyperlink" Target="http://www.sec.gov/Archives/edgar/data/1136352/000119312519186094/d78308dex31.htm" TargetMode="External"/><Relationship Id="rId21" Type="http://schemas.openxmlformats.org/officeDocument/2006/relationships/hyperlink" Target="http://www.sec.gov/Archives/edgar/data/1136352/000119312521252719/d132685dex31.htm" TargetMode="External"/><Relationship Id="rId22" Type="http://schemas.openxmlformats.org/officeDocument/2006/relationships/hyperlink" Target="http://www.sec.gov/Archives/edgar/data/1136352/000119312521252719/d132685dex32.htm" TargetMode="External"/><Relationship Id="rId23" Type="http://schemas.openxmlformats.org/officeDocument/2006/relationships/hyperlink" Target="http://www.sec.gov/Archives/edgar/data/1136352/000119312523011012/d423135dex41.htm" TargetMode="External"/><Relationship Id="rId24" Type="http://schemas.openxmlformats.org/officeDocument/2006/relationships/hyperlink" Target="http://www.sec.gov/Archives/edgar/data/1136352/000119312523011012/d423135dex41.htm" TargetMode="External"/><Relationship Id="rId25" Type="http://schemas.openxmlformats.org/officeDocument/2006/relationships/hyperlink" Target="http://www.sec.gov/Archives/edgar/data/1136352/000119312523011012/d423135dex41.htm" TargetMode="External"/><Relationship Id="rId26" Type="http://schemas.openxmlformats.org/officeDocument/2006/relationships/hyperlink" Target="http://www.sec.gov/Archives/edgar/data/1136352/000119312523011012/d423135dex41.htm"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74</Pages>
  <Words>31526</Words>
  <CharactersWithSpaces>207487</CharactersWithSpaces>
  <Paragraphs>4266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